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30C" w:rsidRPr="008D667E" w:rsidRDefault="0049430C" w:rsidP="0049430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D667E">
        <w:rPr>
          <w:rFonts w:ascii="Times New Roman" w:hAnsi="Times New Roman" w:cs="Times New Roman"/>
          <w:b/>
          <w:sz w:val="24"/>
        </w:rPr>
        <w:t xml:space="preserve">РЕЗОЛЮЦИЯ </w:t>
      </w:r>
    </w:p>
    <w:p w:rsidR="0049430C" w:rsidRDefault="0049430C" w:rsidP="0049430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D667E">
        <w:rPr>
          <w:rFonts w:ascii="Times New Roman" w:hAnsi="Times New Roman" w:cs="Times New Roman"/>
          <w:b/>
          <w:sz w:val="24"/>
        </w:rPr>
        <w:t>Круглого стола «</w:t>
      </w:r>
      <w:r w:rsidRPr="0049430C">
        <w:rPr>
          <w:rFonts w:ascii="Times New Roman" w:hAnsi="Times New Roman" w:cs="Times New Roman"/>
          <w:b/>
          <w:sz w:val="24"/>
        </w:rPr>
        <w:t>По вопросам доступности лечебного питания</w:t>
      </w:r>
      <w:r w:rsidRPr="008D667E">
        <w:rPr>
          <w:rFonts w:ascii="Times New Roman" w:hAnsi="Times New Roman" w:cs="Times New Roman"/>
          <w:b/>
          <w:sz w:val="24"/>
        </w:rPr>
        <w:t xml:space="preserve">» </w:t>
      </w:r>
    </w:p>
    <w:p w:rsidR="0049430C" w:rsidRPr="00D270B8" w:rsidRDefault="0049430C" w:rsidP="0049430C">
      <w:pPr>
        <w:widowControl w:val="0"/>
        <w:autoSpaceDE w:val="0"/>
        <w:autoSpaceDN w:val="0"/>
        <w:adjustRightInd w:val="0"/>
        <w:ind w:left="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0B8">
        <w:rPr>
          <w:rFonts w:ascii="Times New Roman" w:hAnsi="Times New Roman" w:cs="Times New Roman"/>
          <w:b/>
          <w:i/>
          <w:sz w:val="24"/>
          <w:szCs w:val="24"/>
        </w:rPr>
        <w:t>Россия, Москва, 29 ноября 2018 года</w:t>
      </w:r>
    </w:p>
    <w:p w:rsidR="0049430C" w:rsidRPr="008D667E" w:rsidRDefault="0049430C" w:rsidP="0039108E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270B8">
        <w:rPr>
          <w:rFonts w:ascii="Times New Roman" w:hAnsi="Times New Roman" w:cs="Times New Roman"/>
          <w:sz w:val="24"/>
        </w:rPr>
        <w:t>Н</w:t>
      </w:r>
      <w:r w:rsidRPr="008D667E">
        <w:rPr>
          <w:rFonts w:ascii="Times New Roman" w:hAnsi="Times New Roman" w:cs="Times New Roman"/>
          <w:sz w:val="24"/>
        </w:rPr>
        <w:t>а площадке IХ Всероссийского конгресса пациентов «Взаимодействие власти и пациентского сообщества как основа построения пациент-ориентированного здравоох</w:t>
      </w:r>
      <w:r>
        <w:rPr>
          <w:rFonts w:ascii="Times New Roman" w:hAnsi="Times New Roman" w:cs="Times New Roman"/>
          <w:sz w:val="24"/>
        </w:rPr>
        <w:t>ранения в Российской Федерации»</w:t>
      </w:r>
      <w:r w:rsidRPr="008D667E">
        <w:rPr>
          <w:rFonts w:ascii="Times New Roman" w:hAnsi="Times New Roman" w:cs="Times New Roman"/>
          <w:sz w:val="24"/>
        </w:rPr>
        <w:t xml:space="preserve"> состоялся круглый стол «</w:t>
      </w:r>
      <w:r w:rsidRPr="0049430C">
        <w:rPr>
          <w:rFonts w:ascii="Times New Roman" w:hAnsi="Times New Roman" w:cs="Times New Roman"/>
          <w:sz w:val="24"/>
        </w:rPr>
        <w:t>По вопросам доступности лечебного питания</w:t>
      </w:r>
      <w:r w:rsidRPr="008D667E">
        <w:rPr>
          <w:rFonts w:ascii="Times New Roman" w:hAnsi="Times New Roman" w:cs="Times New Roman"/>
          <w:sz w:val="24"/>
        </w:rPr>
        <w:t>».</w:t>
      </w:r>
    </w:p>
    <w:p w:rsidR="0049430C" w:rsidRPr="008D667E" w:rsidRDefault="0049430C" w:rsidP="0049430C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D667E">
        <w:rPr>
          <w:rFonts w:ascii="Times New Roman" w:hAnsi="Times New Roman" w:cs="Times New Roman"/>
          <w:sz w:val="24"/>
        </w:rPr>
        <w:t>В заседании и работе круглого стола приняли участие представители пациентских организаций, представители экспертных, медицинских и общественных организаций</w:t>
      </w:r>
      <w:r>
        <w:rPr>
          <w:rFonts w:ascii="Times New Roman" w:hAnsi="Times New Roman" w:cs="Times New Roman"/>
          <w:sz w:val="24"/>
        </w:rPr>
        <w:t>.</w:t>
      </w:r>
    </w:p>
    <w:p w:rsidR="0039108E" w:rsidRPr="0039108E" w:rsidRDefault="0039108E" w:rsidP="0039108E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9108E">
        <w:rPr>
          <w:rFonts w:ascii="Times New Roman" w:hAnsi="Times New Roman" w:cs="Times New Roman"/>
          <w:sz w:val="24"/>
        </w:rPr>
        <w:t>Участники круглого стола заслушали и обсудили вопросы повышения эффективности лечения пациентов, страдающих онкологическими заболеваниями и необходимость проведения полноценной реабилитации, включая специализированную нутритивную поддержку, в стационарных и амбулаторных условиях.</w:t>
      </w:r>
    </w:p>
    <w:p w:rsidR="0039108E" w:rsidRPr="0039108E" w:rsidRDefault="0039108E" w:rsidP="0039108E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9108E">
        <w:rPr>
          <w:rFonts w:ascii="Times New Roman" w:hAnsi="Times New Roman" w:cs="Times New Roman"/>
          <w:sz w:val="24"/>
        </w:rPr>
        <w:t>На современном этапе развития медицины стало очевидно, что успехи лечения пациентов со злокачественными новообразованиями (ЗНО) определяются не только показателем выживаемости, но и качеством жизни. Обеспечение достойного качества жизни является актуальной проблемой, имеющей большое медико-социальное и экономическое значение.</w:t>
      </w:r>
    </w:p>
    <w:p w:rsidR="00625484" w:rsidRPr="00625484" w:rsidRDefault="00625484" w:rsidP="00625484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25484">
        <w:rPr>
          <w:rFonts w:ascii="Times New Roman" w:hAnsi="Times New Roman" w:cs="Times New Roman"/>
          <w:sz w:val="24"/>
        </w:rPr>
        <w:t xml:space="preserve">Пациенты, перенесшие тяжелые травмы, инсульты, пациенты с онкологическими заболеваниями,   получают современное, часто очень агрессивное химиотерапевтическое лечение, травмирующие хирургические вмешательства,  которые, с одной стороны, доказали свою высокую эффективность, если говорить о выживаемости и продлении жизни пациентам, а с другой стороны, побочное действие агрессивного лечения проявляется в нарушении многих функций организма, в том числе пищеварительной системы, обмена веществ, что приводит к инвалидизации пациента, утрате трудоспособности, снижению качества жизни. </w:t>
      </w:r>
    </w:p>
    <w:p w:rsidR="0039108E" w:rsidRPr="0039108E" w:rsidRDefault="00625484" w:rsidP="00625484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25484">
        <w:rPr>
          <w:rFonts w:ascii="Times New Roman" w:hAnsi="Times New Roman" w:cs="Times New Roman"/>
          <w:sz w:val="24"/>
        </w:rPr>
        <w:t>Нарушение питания и, как следствие этого, нутритивная недостаточность, встречается у 40-80% пациентов, страдающих раком желудочно-кишечного тракта, органов головы и шеи. 100% пациентов после трансплантации костного мозга, особенно дети, имеют нутритивную недостаточность и нуждаются в специализированных продуктах лечебного энтерального питания. Пациенты, перенесшие острые нарушения мозгового кровообращения, тяжелые травмы, пациенты, страдающие редкими системными заболеваниями нервной, пищеварительной систем, практически, все имеют серьезную питательную недостаточность.</w:t>
      </w:r>
      <w:r>
        <w:rPr>
          <w:rFonts w:ascii="Times New Roman" w:hAnsi="Times New Roman" w:cs="Times New Roman"/>
          <w:sz w:val="24"/>
        </w:rPr>
        <w:t xml:space="preserve"> </w:t>
      </w:r>
      <w:r w:rsidR="0039108E" w:rsidRPr="0039108E">
        <w:rPr>
          <w:rFonts w:ascii="Times New Roman" w:hAnsi="Times New Roman" w:cs="Times New Roman"/>
          <w:sz w:val="24"/>
        </w:rPr>
        <w:t>Следствием быстро развивающейся недостаточности питания являются возрастающая угроза развития различных опасных для жизни осложнений, замедление выздоровления, увеличение сроков пребывания в стационаре, увеличение расходов на лечение осложнений и повышение смертности.</w:t>
      </w:r>
    </w:p>
    <w:p w:rsidR="0039108E" w:rsidRPr="0039108E" w:rsidRDefault="0039108E" w:rsidP="0039108E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9108E">
        <w:rPr>
          <w:rFonts w:ascii="Times New Roman" w:hAnsi="Times New Roman" w:cs="Times New Roman"/>
          <w:sz w:val="24"/>
        </w:rPr>
        <w:t xml:space="preserve"> </w:t>
      </w:r>
      <w:r w:rsidR="00625484" w:rsidRPr="00625484">
        <w:rPr>
          <w:rFonts w:ascii="Times New Roman" w:hAnsi="Times New Roman" w:cs="Times New Roman"/>
          <w:sz w:val="24"/>
        </w:rPr>
        <w:t xml:space="preserve">Адекватно подобранная и своевременно проведенная нутритивная поддержка не только улучшает белково-энергетический статус пациентов, но и способствует сокращению осложнений, вызванных нарушением трофики, и, как следствие, приводит к уменьшению койко-дня и затрат на лечение в стационаре. В рамках развития стационар замещающих технологий международная и отечественная практика регионов показывает эффективность применения нутритивной поддержки не только в стационарных, но и амбулаторных условиях. Именно непрерывная нутритивная поддержка на всех этапах </w:t>
      </w:r>
      <w:r w:rsidR="00625484" w:rsidRPr="00625484">
        <w:rPr>
          <w:rFonts w:ascii="Times New Roman" w:hAnsi="Times New Roman" w:cs="Times New Roman"/>
          <w:sz w:val="24"/>
        </w:rPr>
        <w:lastRenderedPageBreak/>
        <w:t xml:space="preserve">лечения и реабилитации позволяет провести терапию по радикальной схеме, уменьшить тяжесть и количество осложнений, снизить количество повторных госпитализаций.  </w:t>
      </w:r>
    </w:p>
    <w:p w:rsidR="0039108E" w:rsidRPr="008D667E" w:rsidRDefault="0039108E" w:rsidP="0039108E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538135" w:themeColor="accent6" w:themeShade="BF"/>
          <w:sz w:val="24"/>
        </w:rPr>
      </w:pPr>
      <w:r w:rsidRPr="008D667E">
        <w:rPr>
          <w:rFonts w:ascii="Times New Roman" w:hAnsi="Times New Roman" w:cs="Times New Roman"/>
          <w:b/>
          <w:sz w:val="24"/>
        </w:rPr>
        <w:t>Рекомендации участников круглого стола</w:t>
      </w:r>
    </w:p>
    <w:p w:rsidR="0039108E" w:rsidRPr="0039108E" w:rsidRDefault="0039108E" w:rsidP="0039108E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9108E">
        <w:rPr>
          <w:rFonts w:ascii="Times New Roman" w:hAnsi="Times New Roman" w:cs="Times New Roman"/>
          <w:sz w:val="24"/>
        </w:rPr>
        <w:t xml:space="preserve">        </w:t>
      </w:r>
      <w:r w:rsidRPr="00317632">
        <w:rPr>
          <w:rFonts w:ascii="Times New Roman" w:hAnsi="Times New Roman" w:cs="Times New Roman"/>
          <w:b/>
          <w:sz w:val="24"/>
        </w:rPr>
        <w:t xml:space="preserve">Участники круглого стола выражают следующую консолидированную позицию и обращаются </w:t>
      </w:r>
      <w:r w:rsidR="00317632">
        <w:rPr>
          <w:rFonts w:ascii="Times New Roman" w:hAnsi="Times New Roman" w:cs="Times New Roman"/>
          <w:b/>
          <w:sz w:val="24"/>
        </w:rPr>
        <w:t>с предложениями к Министерству з</w:t>
      </w:r>
      <w:r w:rsidRPr="00317632">
        <w:rPr>
          <w:rFonts w:ascii="Times New Roman" w:hAnsi="Times New Roman" w:cs="Times New Roman"/>
          <w:b/>
          <w:sz w:val="24"/>
        </w:rPr>
        <w:t>дравоохранения Российской Федерации</w:t>
      </w:r>
      <w:r w:rsidRPr="0039108E">
        <w:rPr>
          <w:rFonts w:ascii="Times New Roman" w:hAnsi="Times New Roman" w:cs="Times New Roman"/>
          <w:sz w:val="24"/>
        </w:rPr>
        <w:t xml:space="preserve">: </w:t>
      </w:r>
    </w:p>
    <w:p w:rsidR="0039108E" w:rsidRPr="0039108E" w:rsidRDefault="00317632" w:rsidP="0039108E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17632">
        <w:rPr>
          <w:rFonts w:ascii="Times New Roman" w:hAnsi="Times New Roman" w:cs="Times New Roman"/>
          <w:sz w:val="24"/>
        </w:rPr>
        <w:t>1</w:t>
      </w:r>
      <w:r w:rsidR="0039108E" w:rsidRPr="0039108E">
        <w:rPr>
          <w:rFonts w:ascii="Times New Roman" w:hAnsi="Times New Roman" w:cs="Times New Roman"/>
          <w:sz w:val="24"/>
        </w:rPr>
        <w:t>.</w:t>
      </w:r>
      <w:r w:rsidR="0039108E" w:rsidRPr="0039108E">
        <w:rPr>
          <w:rFonts w:ascii="Times New Roman" w:hAnsi="Times New Roman" w:cs="Times New Roman"/>
          <w:sz w:val="24"/>
        </w:rPr>
        <w:tab/>
        <w:t xml:space="preserve">Внести поправки в Федеральный закон от 21.11.2011 N 323-ФЗ (ред. от 07.03.2018) "Об основах охраны здоровья граждан в Российской Федерации", </w:t>
      </w:r>
    </w:p>
    <w:p w:rsidR="0039108E" w:rsidRPr="0039108E" w:rsidRDefault="0039108E" w:rsidP="0039108E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9108E">
        <w:rPr>
          <w:rFonts w:ascii="Times New Roman" w:hAnsi="Times New Roman" w:cs="Times New Roman"/>
          <w:sz w:val="24"/>
        </w:rPr>
        <w:t>Статью 39. Лечебное питание. Изложить в следующей редакции:</w:t>
      </w:r>
    </w:p>
    <w:p w:rsidR="0039108E" w:rsidRPr="0039108E" w:rsidRDefault="0039108E" w:rsidP="0039108E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9108E">
        <w:rPr>
          <w:rFonts w:ascii="Times New Roman" w:hAnsi="Times New Roman" w:cs="Times New Roman"/>
          <w:sz w:val="24"/>
        </w:rPr>
        <w:t xml:space="preserve"> 1.</w:t>
      </w:r>
      <w:r w:rsidR="00317632">
        <w:rPr>
          <w:rFonts w:ascii="Times New Roman" w:hAnsi="Times New Roman" w:cs="Times New Roman"/>
          <w:sz w:val="24"/>
        </w:rPr>
        <w:t>1.</w:t>
      </w:r>
      <w:r w:rsidRPr="0039108E">
        <w:rPr>
          <w:rFonts w:ascii="Times New Roman" w:hAnsi="Times New Roman" w:cs="Times New Roman"/>
          <w:sz w:val="24"/>
        </w:rPr>
        <w:t xml:space="preserve"> Лечебное питание - питание, обеспечивающее удовлетворение физиологических потребностей организма человека в пищевых веществах и энергии с учетом механизмов раз</w:t>
      </w:r>
      <w:r w:rsidR="00625484">
        <w:rPr>
          <w:rFonts w:ascii="Times New Roman" w:hAnsi="Times New Roman" w:cs="Times New Roman"/>
          <w:sz w:val="24"/>
        </w:rPr>
        <w:t xml:space="preserve">вития заболевания, особенностей </w:t>
      </w:r>
      <w:r w:rsidRPr="0039108E">
        <w:rPr>
          <w:rFonts w:ascii="Times New Roman" w:hAnsi="Times New Roman" w:cs="Times New Roman"/>
          <w:sz w:val="24"/>
        </w:rPr>
        <w:t>течения основного и сопутствующего заболеваний и выполняющее лечебные и профилактические задачи.</w:t>
      </w:r>
    </w:p>
    <w:p w:rsidR="0039108E" w:rsidRPr="0039108E" w:rsidRDefault="00317632" w:rsidP="0039108E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39108E" w:rsidRPr="0039108E">
        <w:rPr>
          <w:rFonts w:ascii="Times New Roman" w:hAnsi="Times New Roman" w:cs="Times New Roman"/>
          <w:sz w:val="24"/>
        </w:rPr>
        <w:t xml:space="preserve">2. Лечебное питание является неотъемлемым компонентом лечебного процесса и профилактических мероприятий, включает в себя пищевые рационы, которые имеют установленный химический состав, энергетическую ценность, состоят из определенных продуктов, в том числе специализированных продуктов лечебного питания, созданных с применением соответствующих технологий и отвечающих потребностям и возможностям в получении питания разных категорий пациентов. </w:t>
      </w:r>
    </w:p>
    <w:p w:rsidR="0039108E" w:rsidRPr="0039108E" w:rsidRDefault="00317632" w:rsidP="0039108E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39108E" w:rsidRPr="0039108E">
        <w:rPr>
          <w:rFonts w:ascii="Times New Roman" w:hAnsi="Times New Roman" w:cs="Times New Roman"/>
          <w:sz w:val="24"/>
        </w:rPr>
        <w:t>3. Специализированными продуктами лечебного питания являются пищевые продукты с установленным химическим составом, энергетической ценностью и физическими свойствами, доказанным лечебным и профилактическим эффектом, которые оказывают специфическое влияние на восстановление нарушенных или утраченных в результате заболевания функций организма, профилактику этих нарушений, а также на повышение адаптивных возможностей организма.</w:t>
      </w:r>
    </w:p>
    <w:p w:rsidR="0039108E" w:rsidRPr="0039108E" w:rsidRDefault="00317632" w:rsidP="0039108E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39108E" w:rsidRPr="0039108E">
        <w:rPr>
          <w:rFonts w:ascii="Times New Roman" w:hAnsi="Times New Roman" w:cs="Times New Roman"/>
          <w:sz w:val="24"/>
        </w:rPr>
        <w:t xml:space="preserve">4. </w:t>
      </w:r>
      <w:r w:rsidR="00625484" w:rsidRPr="00625484">
        <w:rPr>
          <w:rFonts w:ascii="Times New Roman" w:hAnsi="Times New Roman" w:cs="Times New Roman"/>
          <w:sz w:val="24"/>
        </w:rPr>
        <w:t>Нормы лечебного питания утверждаются уполномоченным федеральным органом исполнительной власти.</w:t>
      </w:r>
    </w:p>
    <w:p w:rsidR="00625484" w:rsidRDefault="00317632" w:rsidP="0039108E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39108E" w:rsidRPr="0039108E">
        <w:rPr>
          <w:rFonts w:ascii="Times New Roman" w:hAnsi="Times New Roman" w:cs="Times New Roman"/>
          <w:sz w:val="24"/>
        </w:rPr>
        <w:t xml:space="preserve">. </w:t>
      </w:r>
      <w:r w:rsidR="00625484" w:rsidRPr="00625484">
        <w:rPr>
          <w:rFonts w:ascii="Times New Roman" w:hAnsi="Times New Roman" w:cs="Times New Roman"/>
          <w:sz w:val="24"/>
        </w:rPr>
        <w:t>Включить продукты лечебного/энтерального питания в медико-экономические стандарты лечения на госпитальном и амбулаторном этапах лечения, а также в клинические рекомендации, которые являются основанием для оплаты медицинских услуг.</w:t>
      </w:r>
    </w:p>
    <w:p w:rsidR="0039108E" w:rsidRPr="0039108E" w:rsidRDefault="00317632" w:rsidP="0039108E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625484">
        <w:rPr>
          <w:rFonts w:ascii="Times New Roman" w:hAnsi="Times New Roman" w:cs="Times New Roman"/>
          <w:sz w:val="24"/>
        </w:rPr>
        <w:t xml:space="preserve">. </w:t>
      </w:r>
      <w:r w:rsidR="00625484" w:rsidRPr="00625484">
        <w:rPr>
          <w:rFonts w:ascii="Times New Roman" w:hAnsi="Times New Roman" w:cs="Times New Roman"/>
          <w:sz w:val="24"/>
        </w:rPr>
        <w:t>Принять решение на уровне Правительства РФ о необходимости разработки нормативно-правовой базы и организации выездной патронажной службы для пациентов (в том числе детей), нуждающихся в длительном специализированном наблюдении и медицинском уходе в домашних условиях.</w:t>
      </w:r>
    </w:p>
    <w:p w:rsidR="0039108E" w:rsidRPr="0039108E" w:rsidRDefault="00317632" w:rsidP="0039108E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9108E" w:rsidRPr="0039108E">
        <w:rPr>
          <w:rFonts w:ascii="Times New Roman" w:hAnsi="Times New Roman" w:cs="Times New Roman"/>
          <w:sz w:val="24"/>
        </w:rPr>
        <w:t>.</w:t>
      </w:r>
      <w:r w:rsidR="00625484">
        <w:t xml:space="preserve"> </w:t>
      </w:r>
      <w:r w:rsidR="00625484" w:rsidRPr="00625484">
        <w:rPr>
          <w:rFonts w:ascii="Times New Roman" w:hAnsi="Times New Roman" w:cs="Times New Roman"/>
          <w:sz w:val="24"/>
        </w:rPr>
        <w:t>Разработать комплекс мер направленных на координацию межведомственного взаимодействия для улучшения качества оказания помощи онкологическим пациентам, которые находятся в подведомственных учреждениях Министерства здравоохранения и Министерства труда и социальной защиты, т.к. большинство пациентов получают статус инвалидности и могли бы получать данные реабилитационные меры в рамках ИПР.</w:t>
      </w:r>
      <w:r>
        <w:rPr>
          <w:rFonts w:ascii="Times New Roman" w:hAnsi="Times New Roman" w:cs="Times New Roman"/>
          <w:sz w:val="24"/>
        </w:rPr>
        <w:t>5</w:t>
      </w:r>
      <w:r w:rsidR="0039108E" w:rsidRPr="0039108E">
        <w:rPr>
          <w:rFonts w:ascii="Times New Roman" w:hAnsi="Times New Roman" w:cs="Times New Roman"/>
          <w:sz w:val="24"/>
        </w:rPr>
        <w:t>.</w:t>
      </w:r>
      <w:r w:rsidR="0039108E" w:rsidRPr="0039108E">
        <w:rPr>
          <w:rFonts w:ascii="Times New Roman" w:hAnsi="Times New Roman" w:cs="Times New Roman"/>
          <w:sz w:val="24"/>
        </w:rPr>
        <w:tab/>
      </w:r>
      <w:r w:rsidR="00625484">
        <w:rPr>
          <w:rFonts w:ascii="Times New Roman" w:hAnsi="Times New Roman" w:cs="Times New Roman"/>
          <w:sz w:val="24"/>
        </w:rPr>
        <w:t xml:space="preserve">5. </w:t>
      </w:r>
      <w:r w:rsidR="00625484" w:rsidRPr="00625484">
        <w:rPr>
          <w:rFonts w:ascii="Times New Roman" w:hAnsi="Times New Roman" w:cs="Times New Roman"/>
          <w:sz w:val="24"/>
        </w:rPr>
        <w:t>Внести изменения в Приложения №1 и №2 Распоряжения Правительства РФ по перечню ЖНВЛП с учетом внесения в документы под кодом V06 конкретных продуктов энтерального питания</w:t>
      </w:r>
    </w:p>
    <w:p w:rsidR="0039108E" w:rsidRPr="0039108E" w:rsidRDefault="0039108E" w:rsidP="0039108E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9108E" w:rsidRPr="00317632" w:rsidRDefault="0039108E" w:rsidP="0039108E">
      <w:pPr>
        <w:spacing w:after="8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17632">
        <w:rPr>
          <w:rFonts w:ascii="Times New Roman" w:hAnsi="Times New Roman" w:cs="Times New Roman"/>
          <w:b/>
          <w:sz w:val="24"/>
        </w:rPr>
        <w:t xml:space="preserve">Участники Круглого стола обращаются с предложениями к уполномоченным органам исполнительной власти субъектов Российской Федерации: </w:t>
      </w:r>
    </w:p>
    <w:p w:rsidR="0039108E" w:rsidRPr="0039108E" w:rsidRDefault="00317632" w:rsidP="00317632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39108E" w:rsidRPr="0039108E">
        <w:rPr>
          <w:rFonts w:ascii="Times New Roman" w:hAnsi="Times New Roman" w:cs="Times New Roman"/>
          <w:sz w:val="24"/>
        </w:rPr>
        <w:t xml:space="preserve">Рассмотреть возможность обеспечения средствами энтерального питания всех нуждающихся пациентов, в том числе за счет средств территориальных программ </w:t>
      </w:r>
      <w:r w:rsidR="0039108E" w:rsidRPr="0039108E">
        <w:rPr>
          <w:rFonts w:ascii="Times New Roman" w:hAnsi="Times New Roman" w:cs="Times New Roman"/>
          <w:sz w:val="24"/>
        </w:rPr>
        <w:lastRenderedPageBreak/>
        <w:t>государственных гарантий оказания бесплатной медицинской помощи, региональных программ по обеспечению необходи</w:t>
      </w:r>
      <w:r w:rsidR="00D75722">
        <w:rPr>
          <w:rFonts w:ascii="Times New Roman" w:hAnsi="Times New Roman" w:cs="Times New Roman"/>
          <w:sz w:val="24"/>
        </w:rPr>
        <w:t xml:space="preserve">мыми лекарственным препаратами, </w:t>
      </w:r>
      <w:r w:rsidR="0039108E" w:rsidRPr="0039108E">
        <w:rPr>
          <w:rFonts w:ascii="Times New Roman" w:hAnsi="Times New Roman" w:cs="Times New Roman"/>
          <w:sz w:val="24"/>
        </w:rPr>
        <w:t>используя успешный опыт регионов - Москвы, Санкт-Петербурга, Казани и других.</w:t>
      </w:r>
    </w:p>
    <w:p w:rsidR="0039108E" w:rsidRPr="0039108E" w:rsidRDefault="00317632" w:rsidP="0039108E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39108E" w:rsidRPr="0039108E">
        <w:rPr>
          <w:rFonts w:ascii="Times New Roman" w:hAnsi="Times New Roman" w:cs="Times New Roman"/>
          <w:sz w:val="24"/>
        </w:rPr>
        <w:t xml:space="preserve">Обеспечить реализацию образовательных программ по лечебному питанию для медицинского персонала в сфере реабилитации пациентов, в том числе в рамках программ непрерывного медицинского образования. </w:t>
      </w:r>
    </w:p>
    <w:p w:rsidR="0039108E" w:rsidRDefault="00D75722" w:rsidP="0039108E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39108E" w:rsidRPr="0039108E">
        <w:rPr>
          <w:rFonts w:ascii="Times New Roman" w:hAnsi="Times New Roman" w:cs="Times New Roman"/>
          <w:sz w:val="24"/>
        </w:rPr>
        <w:t>Разработать систему мер по повышению информированности пациентов о возможностях реабилитации и средствах ухода, организации постоянно действующих «школ пациентов» на базе медицинских организаций, оказывающих медицинскую помощь пациентам в том числе паллиативную.</w:t>
      </w:r>
    </w:p>
    <w:p w:rsidR="00625484" w:rsidRPr="0039108E" w:rsidRDefault="00625484" w:rsidP="0039108E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625484">
        <w:rPr>
          <w:rFonts w:ascii="Times New Roman" w:hAnsi="Times New Roman" w:cs="Times New Roman"/>
          <w:sz w:val="24"/>
        </w:rPr>
        <w:t>Организовать ряд круглых столов в Министерствах Здравоохранения, Минпромторге РФ, Министерстве труда и</w:t>
      </w:r>
      <w:r w:rsidR="00B77DCB">
        <w:rPr>
          <w:rFonts w:ascii="Times New Roman" w:hAnsi="Times New Roman" w:cs="Times New Roman"/>
          <w:sz w:val="24"/>
        </w:rPr>
        <w:t xml:space="preserve"> социального развития РФ, а так</w:t>
      </w:r>
      <w:bookmarkStart w:id="0" w:name="_GoBack"/>
      <w:bookmarkEnd w:id="0"/>
      <w:r w:rsidRPr="00625484">
        <w:rPr>
          <w:rFonts w:ascii="Times New Roman" w:hAnsi="Times New Roman" w:cs="Times New Roman"/>
          <w:sz w:val="24"/>
        </w:rPr>
        <w:t>же при Комитетах Государственной Думы и Общественной Палаты РФ с участием представителей ОНФ, пациентского и экспертного сообщества для решения текущих вопросов в области лечебного, диетического, функционального питания и питания в лечебных и социальных учреждениях.</w:t>
      </w:r>
    </w:p>
    <w:p w:rsidR="00B10CC0" w:rsidRDefault="00B10CC0" w:rsidP="007E0532">
      <w:pPr>
        <w:widowControl w:val="0"/>
        <w:spacing w:after="120" w:line="240" w:lineRule="auto"/>
        <w:ind w:left="-567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sectPr w:rsidR="00B10CC0" w:rsidSect="00B8123D"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1103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C67" w:rsidRDefault="004B4C67" w:rsidP="007759A9">
      <w:pPr>
        <w:spacing w:after="0" w:line="240" w:lineRule="auto"/>
      </w:pPr>
      <w:r>
        <w:separator/>
      </w:r>
    </w:p>
  </w:endnote>
  <w:endnote w:type="continuationSeparator" w:id="0">
    <w:p w:rsidR="004B4C67" w:rsidRDefault="004B4C67" w:rsidP="0077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C0" w:rsidRPr="001B5500" w:rsidRDefault="00545934" w:rsidP="00A71DF4">
    <w:pPr>
      <w:pStyle w:val="a5"/>
      <w:jc w:val="center"/>
      <w:rPr>
        <w:rFonts w:ascii="Times New Roman" w:hAnsi="Times New Roman"/>
        <w:color w:val="595959"/>
      </w:rPr>
    </w:pPr>
    <w:r>
      <w:rPr>
        <w:rFonts w:ascii="Times New Roman" w:hAnsi="Times New Roman"/>
        <w:noProof/>
        <w:color w:val="595959"/>
        <w:lang w:eastAsia="ru-RU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-798195</wp:posOffset>
          </wp:positionH>
          <wp:positionV relativeFrom="paragraph">
            <wp:posOffset>-69850</wp:posOffset>
          </wp:positionV>
          <wp:extent cx="7053580" cy="223520"/>
          <wp:effectExtent l="19050" t="0" r="0" b="0"/>
          <wp:wrapNone/>
          <wp:docPr id="10" name="Рисунок 4" descr="бланк составные элементы-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бланк составные элементы-07"/>
                  <pic:cNvPicPr>
                    <a:picLocks noChangeArrowheads="1"/>
                  </pic:cNvPicPr>
                </pic:nvPicPr>
                <pic:blipFill>
                  <a:blip r:embed="rId1"/>
                  <a:srcRect l="3999" t="58755" r="2678" b="-14"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22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81919" w:rsidRPr="001B5500">
      <w:rPr>
        <w:rFonts w:ascii="Times New Roman" w:hAnsi="Times New Roman"/>
        <w:color w:val="595959"/>
      </w:rPr>
      <w:fldChar w:fldCharType="begin"/>
    </w:r>
    <w:r w:rsidR="004730C0" w:rsidRPr="001B5500">
      <w:rPr>
        <w:rFonts w:ascii="Times New Roman" w:hAnsi="Times New Roman"/>
        <w:color w:val="595959"/>
      </w:rPr>
      <w:instrText xml:space="preserve"> PAGE   \* MERGEFORMAT </w:instrText>
    </w:r>
    <w:r w:rsidR="00181919" w:rsidRPr="001B5500">
      <w:rPr>
        <w:rFonts w:ascii="Times New Roman" w:hAnsi="Times New Roman"/>
        <w:color w:val="595959"/>
      </w:rPr>
      <w:fldChar w:fldCharType="separate"/>
    </w:r>
    <w:r w:rsidR="00B77DCB">
      <w:rPr>
        <w:rFonts w:ascii="Times New Roman" w:hAnsi="Times New Roman"/>
        <w:noProof/>
        <w:color w:val="595959"/>
      </w:rPr>
      <w:t>3</w:t>
    </w:r>
    <w:r w:rsidR="00181919" w:rsidRPr="001B5500">
      <w:rPr>
        <w:rFonts w:ascii="Times New Roman" w:hAnsi="Times New Roman"/>
        <w:color w:val="59595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C0" w:rsidRDefault="004730C0" w:rsidP="00EA0E4F">
    <w:pPr>
      <w:pStyle w:val="a5"/>
      <w:jc w:val="center"/>
      <w:rPr>
        <w:rFonts w:ascii="Times New Roman" w:hAnsi="Times New Roman"/>
        <w:color w:val="7F7F7F"/>
      </w:rPr>
    </w:pPr>
  </w:p>
  <w:p w:rsidR="004730C0" w:rsidRPr="00EA0E4F" w:rsidRDefault="00545934" w:rsidP="00EA0E4F">
    <w:pPr>
      <w:pStyle w:val="a5"/>
      <w:jc w:val="center"/>
      <w:rPr>
        <w:rFonts w:ascii="Times New Roman" w:hAnsi="Times New Roman"/>
        <w:color w:val="7F7F7F"/>
      </w:rPr>
    </w:pPr>
    <w:r>
      <w:rPr>
        <w:rFonts w:ascii="Times New Roman" w:hAnsi="Times New Roman"/>
        <w:noProof/>
        <w:color w:val="7F7F7F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-749300</wp:posOffset>
          </wp:positionH>
          <wp:positionV relativeFrom="paragraph">
            <wp:posOffset>-19050</wp:posOffset>
          </wp:positionV>
          <wp:extent cx="7053580" cy="223520"/>
          <wp:effectExtent l="19050" t="0" r="0" b="0"/>
          <wp:wrapNone/>
          <wp:docPr id="1" name="Рисунок 1" descr="бланк составные элементы-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 составные элементы-07"/>
                  <pic:cNvPicPr>
                    <a:picLocks noChangeArrowheads="1"/>
                  </pic:cNvPicPr>
                </pic:nvPicPr>
                <pic:blipFill>
                  <a:blip r:embed="rId1"/>
                  <a:srcRect l="3999" t="58755" r="2678" b="-14"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22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C67" w:rsidRDefault="004B4C67" w:rsidP="007759A9">
      <w:pPr>
        <w:spacing w:after="0" w:line="240" w:lineRule="auto"/>
      </w:pPr>
      <w:r>
        <w:separator/>
      </w:r>
    </w:p>
  </w:footnote>
  <w:footnote w:type="continuationSeparator" w:id="0">
    <w:p w:rsidR="004B4C67" w:rsidRDefault="004B4C67" w:rsidP="00775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C0" w:rsidRPr="00D44D84" w:rsidRDefault="004B4C67" w:rsidP="00EA0E4F">
    <w:pPr>
      <w:spacing w:after="0" w:line="240" w:lineRule="auto"/>
      <w:rPr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7" type="#_x0000_t202" style="position:absolute;margin-left:-29.35pt;margin-top:-21.45pt;width:175.2pt;height:26.2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stroked="f">
          <v:fill opacity="56283f"/>
          <v:path arrowok="t"/>
          <v:textbox style="mso-next-textbox:#Text Box 17" inset=".5mm,.5mm,.5mm,.5mm">
            <w:txbxContent>
              <w:p w:rsidR="004730C0" w:rsidRPr="00B8123D" w:rsidRDefault="00C00F9E" w:rsidP="00C00F9E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</w:pPr>
                <w:r w:rsidRPr="00B8123D">
                  <w:rPr>
                    <w:rFonts w:ascii="Times New Roman" w:hAnsi="Times New Roman"/>
                    <w:color w:val="595959"/>
                    <w:sz w:val="19"/>
                    <w:szCs w:val="19"/>
                  </w:rPr>
                  <w:t>+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7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(495)</w:t>
                </w:r>
                <w:r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612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20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53, </w:t>
                </w:r>
                <w:r w:rsidR="00B8123D" w:rsidRPr="00B8123D">
                  <w:rPr>
                    <w:rFonts w:ascii="Times New Roman" w:hAnsi="Times New Roman"/>
                    <w:color w:val="595959"/>
                    <w:sz w:val="19"/>
                    <w:szCs w:val="19"/>
                  </w:rPr>
                  <w:t>+</w:t>
                </w:r>
                <w:r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7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(495)</w:t>
                </w:r>
                <w:r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748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05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10</w:t>
                </w:r>
              </w:p>
              <w:p w:rsidR="004730C0" w:rsidRPr="00B8123D" w:rsidRDefault="004B4C67" w:rsidP="00C00F9E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</w:pPr>
                <w:hyperlink r:id="rId1">
                  <w:r w:rsidR="004730C0" w:rsidRPr="00B8123D">
                    <w:rPr>
                      <w:rFonts w:ascii="Times New Roman" w:eastAsia="Times New Roman" w:hAnsi="Times New Roman"/>
                      <w:color w:val="595959"/>
                      <w:spacing w:val="4"/>
                      <w:sz w:val="19"/>
                      <w:szCs w:val="19"/>
                    </w:rPr>
                    <w:t>www.patients.ru</w:t>
                  </w:r>
                </w:hyperlink>
                <w:r w:rsidR="004730C0" w:rsidRP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,  </w:t>
                </w:r>
                <w:r w:rsid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 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 </w:t>
                </w:r>
                <w:hyperlink r:id="rId2">
                  <w:r w:rsidR="004730C0" w:rsidRPr="00B8123D">
                    <w:rPr>
                      <w:rFonts w:ascii="Times New Roman" w:eastAsia="Times New Roman" w:hAnsi="Times New Roman"/>
                      <w:color w:val="595959"/>
                      <w:spacing w:val="4"/>
                      <w:sz w:val="19"/>
                      <w:szCs w:val="19"/>
                    </w:rPr>
                    <w:t>pat@patients.ru</w:t>
                  </w:r>
                </w:hyperlink>
              </w:p>
            </w:txbxContent>
          </v:textbox>
        </v:shape>
      </w:pict>
    </w:r>
    <w:r w:rsidR="00545934">
      <w:rPr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4541520</wp:posOffset>
          </wp:positionH>
          <wp:positionV relativeFrom="paragraph">
            <wp:posOffset>-516890</wp:posOffset>
          </wp:positionV>
          <wp:extent cx="1188720" cy="1203325"/>
          <wp:effectExtent l="0" t="0" r="0" b="0"/>
          <wp:wrapNone/>
          <wp:docPr id="8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203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 id="Text Box 16" o:spid="_x0000_s2055" type="#_x0000_t202" style="position:absolute;margin-left:162.15pt;margin-top:-21.9pt;width:136.1pt;height:39.35pt;z-index:251656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-119 0 -119 21185 21600 21185 21600 0 -11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SgbwIAAAAFAAAOAAAAZHJzL2Uyb0RvYy54bWysVNuO2yAQfa/Uf0C8Z21HzsXWOqvublNV&#10;2l6k3X4AARyjYqBAYm+r/fcOkKTZXqSqqh8wA8NhZs4ZLq/GXqI9t05o1eDiIseIK6qZUNsGf3pY&#10;T5YYOU8UI1Ir3uBH7vDV6uWLy8HUfKo7LRm3CECUqwfT4M57U2eZox3vibvQhivYbLXtiQfTbjNm&#10;yQDovcymeT7PBm2ZsZpy52D1Nm3iVcRvW079h7Z13CPZYIjNx9HGcRPGbHVJ6q0lphP0EAb5hyh6&#10;IhRceoK6JZ6gnRW/QPWCWu106y+o7jPdtoLymANkU+Q/ZXPfEcNjLlAcZ05lcv8Plr7ff7RIsAYD&#10;UYr0QNEDHz261iMq5qE8g3E1eN0b8PMjrAPNMVVn7jT97MAlO/NJB1zw3gzvNANAsvM6nhhb24ci&#10;QdoIYICPxxMH4VIasBfTZbmALQp7ZVUtylmIIiP18bSxzr/hukdh0mALHEd0sr9zPrkeXcJlTkvB&#10;1kLKaNjt5kZatCegh3X8DujP3KQKzkqHYwkxrUCQcEfYC+FGfr9VxbTMr6fVZD1fLiblupxNqkW+&#10;nORFdV3N87Iqb9dPIcCirDvBGFd3QvGj1ory77g8qD6pJKoNDQ2uZtNZ4uKPSebx+12SvfDQelL0&#10;wP3JidQdJ+y1YpA2qT0RMs2z5+FHQqAGx3+sSpRBYD5pwI+bMSqrOMpoo9kj6MJqoA0YhmcDJp22&#10;XzEaoAUb7L7siOUYybcKNF6EsKBnzw17bmzODaIoQDXYY5SmNz71+c5Yse3gpiRbpV+BHlsRpRKE&#10;m6I6qBjaLOZ0eBJCH5/b0evHw7X6DgAA//8DAFBLAwQUAAYACAAAACEA6SDAZuUAAAAPAQAADwAA&#10;AGRycy9kb3ducmV2LnhtbEyPQU/CQBCF7yb+h82YeDGwrQXU0i0hKBcSTYQePC7doW3szjbdhdZ/&#10;73DSyyST9+bN+7LVaFtxwd43jhTE0wgEUulMQ5WC4rCdPIPwQZPRrSNU8IMeVvntTaZT4wb6xMs+&#10;VIJDyKdaQR1Cl0rpyxqt9lPXIbF2cr3Vgde+kqbXA4fbVj5G0UJa3RB/qHWHmxrL7/3ZKli/fRwK&#10;Kr7MyTzMG1dt34fNzih1fze+LnmslyACjuHvAq4M3B9yLnZ0ZzJetAqS2Txmq4LJLGEQdizipwTE&#10;8Sq9gMwz+Z8j/wUAAP//AwBQSwECLQAUAAYACAAAACEAtoM4kv4AAADhAQAAEwAAAAAAAAAAAAAA&#10;AAAAAAAAW0NvbnRlbnRfVHlwZXNdLnhtbFBLAQItABQABgAIAAAAIQA4/SH/1gAAAJQBAAALAAAA&#10;AAAAAAAAAAAAAC8BAABfcmVscy8ucmVsc1BLAQItABQABgAIAAAAIQCVyuSgbwIAAAAFAAAOAAAA&#10;AAAAAAAAAAAAAC4CAABkcnMvZTJvRG9jLnhtbFBLAQItABQABgAIAAAAIQDpIMBm5QAAAA8BAAAP&#10;AAAAAAAAAAAAAAAAAMkEAABkcnMvZG93bnJldi54bWxQSwUGAAAAAAQABADzAAAA2wUAAAAAQUFB&#10;QUFBQUFBQUFBQUFBQU1rRUF=&#10;" stroked="f">
          <v:path arrowok="t"/>
          <v:textbox style="mso-next-textbox:#Text Box 16" inset=".5mm,.5mm,.5mm,.5mm">
            <w:txbxContent>
              <w:p w:rsidR="004730C0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both"/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</w:pPr>
                <w:r w:rsidRPr="00925CD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Российская Федерация, 125167,</w:t>
                </w:r>
                <w:r w:rsidRPr="00925CD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br/>
                  <w:t>г. Москва, Нарышкинская аллея,</w:t>
                </w:r>
              </w:p>
              <w:p w:rsidR="004730C0" w:rsidRPr="00925CDD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right"/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</w:pPr>
                <w:r w:rsidRPr="00925CD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дом 5, строение 2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Text Box 19" o:spid="_x0000_s2054" type="#_x0000_t202" style="position:absolute;margin-left:-36.1pt;margin-top:-28.8pt;width:79.05pt;height:33.6pt;z-index:25165721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stroked="f">
          <v:fill opacity="56283f"/>
          <v:path arrowok="t"/>
          <v:textbox style="mso-next-textbox:#Text Box 19" inset=".5mm,.5mm,.5mm,.5mm">
            <w:txbxContent>
              <w:p w:rsidR="004730C0" w:rsidRPr="00111C31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right"/>
                  <w:rPr>
                    <w:rFonts w:ascii="Times New Roman" w:eastAsia="Times New Roman" w:hAnsi="Times New Roman"/>
                    <w:color w:val="939598"/>
                    <w:sz w:val="19"/>
                    <w:szCs w:val="19"/>
                  </w:rPr>
                </w:pPr>
              </w:p>
              <w:p w:rsidR="004730C0" w:rsidRPr="00E03843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right"/>
                  <w:rPr>
                    <w:rFonts w:ascii="Times New Roman" w:eastAsia="Times New Roman" w:hAnsi="Times New Roman"/>
                    <w:b/>
                    <w:color w:val="939598"/>
                    <w:sz w:val="19"/>
                    <w:szCs w:val="19"/>
                  </w:rPr>
                </w:pPr>
              </w:p>
            </w:txbxContent>
          </v:textbox>
        </v:shape>
      </w:pict>
    </w:r>
    <w:r w:rsidR="00545934">
      <w:rPr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-865505</wp:posOffset>
          </wp:positionH>
          <wp:positionV relativeFrom="paragraph">
            <wp:posOffset>-478155</wp:posOffset>
          </wp:positionV>
          <wp:extent cx="7120890" cy="770890"/>
          <wp:effectExtent l="19050" t="0" r="3810" b="0"/>
          <wp:wrapNone/>
          <wp:docPr id="5" name="Рисунок 2" descr="бланк составные элементы-0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бланк составные элементы-06"/>
                  <pic:cNvPicPr>
                    <a:picLocks noChangeArrowheads="1"/>
                  </pic:cNvPicPr>
                </pic:nvPicPr>
                <pic:blipFill>
                  <a:blip r:embed="rId4"/>
                  <a:srcRect l="2673" r="3773" b="-43"/>
                  <a:stretch>
                    <a:fillRect/>
                  </a:stretch>
                </pic:blipFill>
                <pic:spPr bwMode="auto">
                  <a:xfrm>
                    <a:off x="0" y="0"/>
                    <a:ext cx="7120890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730C0" w:rsidRPr="000015F9" w:rsidRDefault="004B4C67" w:rsidP="00EA0E4F">
    <w:pPr>
      <w:spacing w:after="0" w:line="240" w:lineRule="auto"/>
    </w:pPr>
    <w:r>
      <w:rPr>
        <w:noProof/>
      </w:rPr>
      <w:pict>
        <v:group id="Group 10" o:spid="_x0000_s2050" alt="" style="position:absolute;margin-left:-72.9pt;margin-top:4.7pt;width:569.3pt;height:45.85pt;z-index:251655168" coordorigin="5,1521" coordsize="11901,917">
          <v:shape id="AutoShape 9" o:spid="_x0000_s2051" alt="" style="position:absolute;left:5;top:1702;width:11901;height:736;visibility:visible;mso-wrap-style:square;v-text-anchor:top" coordsize="11901,736" o:spt="100" adj="0,,0" path="m3333,40r-1165,l2499,48r83,4l2664,54r244,12l2989,72r80,4l3150,82r81,4l3631,116r79,8l3869,136r157,16l4105,158r778,80l4960,248r154,16l5191,274r154,16l5587,320r81,8l5990,368r161,18l7558,558r74,10l7853,594r75,10l8003,612r76,10l8155,630r77,10l8468,664r80,6l8630,678r313,24l9100,710r78,6l9257,720r80,2l9416,726r402,10l10229,736r82,-2l10394,734r165,-4l10641,726r82,-2l10966,712r81,-6l11128,702r474,-36l11834,642r67,-6l11901,612r-2254,l9401,606r-82,-4l9237,600,8993,588,8831,576r-80,-4l8671,566r-79,-8l8513,552,8037,504,7797,476r-81,-8l6923,380r-12,-2l5850,264r-79,-10l4824,158r-80,-6l4584,136r-80,-6l4343,114r-81,-6l4181,100,3444,46r-83,-4l3333,40xm11901,474r-358,46l11225,552r-392,30l10447,602r-391,10l11901,612r,-138xm2288,l1955,,1624,8,1379,20,1061,44,906,60,830,70r-75,8l680,90r-91,12l500,118r-86,14l331,148r-81,18l171,182,95,200,21,220,,224r,24l88,226r72,-16l235,192r77,-14l390,162r81,-14l554,136r84,-14l725,112,877,92r76,-8l1031,78r78,-8l1188,64,1591,44r164,-4l3333,40r-55,-4l2786,12,2288,xe" fillcolor="#ed1c24" stroked="f">
            <v:stroke joinstyle="round"/>
            <v:formulas/>
            <v:path arrowok="t" o:connecttype="custom" o:connectlocs="1586865,787400;1846580,798830;2000250,808990;2355850,835660;2606675,857250;3247390,924560;3547745,960120;3905885,1002030;4986655,1134110;5130165,1151890;5377180,1178560;5678805,1202690;5878195,1214120;6234430,1224280;6600190,1223010;6809105,1216660;7066280,1202690;7557135,1160780;5969635,1141730;5710555,1130300;5506085,1116330;5103495,1076960;4396105,998220;3664585,918210;2910840,843280;2706370,825500;2134235,783590;7329805,1087120;6633845,1139190;7557135,1057910;1031240,762000;575310,795020;431800,814070;262890,840740;108585,872490;0,899160;101600,890270;247650,859790;405130,834390;605155,810260;754380,797560;2116455,782320;1452880,756920" o:connectangles="0,0,0,0,0,0,0,0,0,0,0,0,0,0,0,0,0,0,0,0,0,0,0,0,0,0,0,0,0,0,0,0,0,0,0,0,0,0,0,0,0,0,0"/>
          </v:shape>
          <v:shape id="AutoShape 8" o:spid="_x0000_s2052" alt="" style="position:absolute;left:5;top:1521;width:6184;height:406;visibility:visible;mso-wrap-style:square;v-text-anchor:top" coordsize="6184,406" o:spt="100" adj="0,,0" path="m4062,128r-1864,l2605,131r409,11l3503,163r565,34l4708,247r707,70l6183,406,5512,304,5051,240,4498,173,4062,128xm1642,l1317,3,994,10,682,23,448,37,217,54,,75,,281r5,-1l47,273r83,-14l215,247r87,-13l465,214,614,198,845,177r238,-17l1319,147r316,-11l1955,129r2107,-1l3511,79,2999,43,2521,19,2125,6,1723,1,1642,xe" fillcolor="#1b75bc" stroked="f">
            <v:stroke joinstyle="round"/>
            <v:formulas/>
            <v:path arrowok="t" o:connecttype="custom" o:connectlocs="2579370,722630;1395730,722630;1654175,724535;1913890,731520;2224405,744855;2583180,766445;2989580,798195;3438525,842645;3926205,899160;3500120,834390;3207385,793750;2856230,751205;2579370,722630;1042670,641350;836295,643255;631190,647700;433070,655955;284480,664845;137795,675640;0,688975;0,819785;3175,819150;29845,814705;82550,805815;136525,798195;191770,789940;295275,777240;389890,767080;536575,753745;687705,742950;837565,734695;1038225,727710;1241425,723265;2579370,722630;2229485,691515;1904365,668655;1600835,653415;1349375,645160;1094105,641985;1042670,641350" o:connectangles="0,0,0,0,0,0,0,0,0,0,0,0,0,0,0,0,0,0,0,0,0,0,0,0,0,0,0,0,0,0,0,0,0,0,0,0,0,0,0,0"/>
          </v:shape>
        </v:group>
      </w:pict>
    </w:r>
  </w:p>
  <w:p w:rsidR="004730C0" w:rsidRPr="00D44D84" w:rsidRDefault="004730C0" w:rsidP="00EA0E4F">
    <w:pPr>
      <w:spacing w:after="0" w:line="240" w:lineRule="auto"/>
      <w:rPr>
        <w:sz w:val="26"/>
        <w:szCs w:val="26"/>
      </w:rPr>
    </w:pPr>
  </w:p>
  <w:p w:rsidR="004730C0" w:rsidRDefault="004730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70404"/>
    <w:multiLevelType w:val="hybridMultilevel"/>
    <w:tmpl w:val="3C8EA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6EBD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5F9"/>
    <w:rsid w:val="000015F9"/>
    <w:rsid w:val="000171F1"/>
    <w:rsid w:val="00021C9B"/>
    <w:rsid w:val="00033165"/>
    <w:rsid w:val="0006292F"/>
    <w:rsid w:val="000B1073"/>
    <w:rsid w:val="000B311C"/>
    <w:rsid w:val="000B496C"/>
    <w:rsid w:val="000D296B"/>
    <w:rsid w:val="001144F1"/>
    <w:rsid w:val="0013551E"/>
    <w:rsid w:val="00137168"/>
    <w:rsid w:val="00142EA3"/>
    <w:rsid w:val="00146CE2"/>
    <w:rsid w:val="00165F82"/>
    <w:rsid w:val="00181919"/>
    <w:rsid w:val="001A176D"/>
    <w:rsid w:val="001B5500"/>
    <w:rsid w:val="001C0EAA"/>
    <w:rsid w:val="0022180E"/>
    <w:rsid w:val="00247BB8"/>
    <w:rsid w:val="0026606F"/>
    <w:rsid w:val="0026736D"/>
    <w:rsid w:val="002741EF"/>
    <w:rsid w:val="00275164"/>
    <w:rsid w:val="00306395"/>
    <w:rsid w:val="00317632"/>
    <w:rsid w:val="0036054C"/>
    <w:rsid w:val="00387778"/>
    <w:rsid w:val="0039108E"/>
    <w:rsid w:val="003916AE"/>
    <w:rsid w:val="003948C0"/>
    <w:rsid w:val="003F78F4"/>
    <w:rsid w:val="004010DF"/>
    <w:rsid w:val="00430E53"/>
    <w:rsid w:val="00454658"/>
    <w:rsid w:val="004637C3"/>
    <w:rsid w:val="004730C0"/>
    <w:rsid w:val="00484E04"/>
    <w:rsid w:val="00490FF0"/>
    <w:rsid w:val="0049430C"/>
    <w:rsid w:val="004B3AF2"/>
    <w:rsid w:val="004B4C67"/>
    <w:rsid w:val="004B7D12"/>
    <w:rsid w:val="004F525C"/>
    <w:rsid w:val="00506587"/>
    <w:rsid w:val="00517437"/>
    <w:rsid w:val="005409FF"/>
    <w:rsid w:val="005435CE"/>
    <w:rsid w:val="00545934"/>
    <w:rsid w:val="00545C73"/>
    <w:rsid w:val="005A24E1"/>
    <w:rsid w:val="005C3539"/>
    <w:rsid w:val="006138CF"/>
    <w:rsid w:val="00625484"/>
    <w:rsid w:val="00650E12"/>
    <w:rsid w:val="006563EC"/>
    <w:rsid w:val="00666CBF"/>
    <w:rsid w:val="00677985"/>
    <w:rsid w:val="00693FF7"/>
    <w:rsid w:val="006E4A1C"/>
    <w:rsid w:val="00756B1A"/>
    <w:rsid w:val="007759A9"/>
    <w:rsid w:val="007A1897"/>
    <w:rsid w:val="007B3A5E"/>
    <w:rsid w:val="007B4A97"/>
    <w:rsid w:val="007B535D"/>
    <w:rsid w:val="007C458D"/>
    <w:rsid w:val="007E0532"/>
    <w:rsid w:val="007E1321"/>
    <w:rsid w:val="008610FC"/>
    <w:rsid w:val="008B00FF"/>
    <w:rsid w:val="008B0D3F"/>
    <w:rsid w:val="008F57C1"/>
    <w:rsid w:val="008F799B"/>
    <w:rsid w:val="00900D14"/>
    <w:rsid w:val="00901217"/>
    <w:rsid w:val="00924948"/>
    <w:rsid w:val="00925CDD"/>
    <w:rsid w:val="00926BB4"/>
    <w:rsid w:val="00955B96"/>
    <w:rsid w:val="009922E7"/>
    <w:rsid w:val="009925A6"/>
    <w:rsid w:val="009A00F1"/>
    <w:rsid w:val="00A55E93"/>
    <w:rsid w:val="00A71DF4"/>
    <w:rsid w:val="00A7335B"/>
    <w:rsid w:val="00A97510"/>
    <w:rsid w:val="00AA4195"/>
    <w:rsid w:val="00AA7BD8"/>
    <w:rsid w:val="00B01068"/>
    <w:rsid w:val="00B10293"/>
    <w:rsid w:val="00B10CC0"/>
    <w:rsid w:val="00B60880"/>
    <w:rsid w:val="00B74ECE"/>
    <w:rsid w:val="00B77DCB"/>
    <w:rsid w:val="00B8123D"/>
    <w:rsid w:val="00BA44B7"/>
    <w:rsid w:val="00BF2F56"/>
    <w:rsid w:val="00C00F9E"/>
    <w:rsid w:val="00C308F0"/>
    <w:rsid w:val="00C33B87"/>
    <w:rsid w:val="00C60D85"/>
    <w:rsid w:val="00C6720B"/>
    <w:rsid w:val="00C73971"/>
    <w:rsid w:val="00CA3544"/>
    <w:rsid w:val="00CC69A6"/>
    <w:rsid w:val="00CF611B"/>
    <w:rsid w:val="00D00350"/>
    <w:rsid w:val="00D44D84"/>
    <w:rsid w:val="00D72C92"/>
    <w:rsid w:val="00D75722"/>
    <w:rsid w:val="00D848A5"/>
    <w:rsid w:val="00DF3FE7"/>
    <w:rsid w:val="00DF6D33"/>
    <w:rsid w:val="00E0028C"/>
    <w:rsid w:val="00E03843"/>
    <w:rsid w:val="00E44987"/>
    <w:rsid w:val="00E707E6"/>
    <w:rsid w:val="00EA0E4F"/>
    <w:rsid w:val="00EC2BD0"/>
    <w:rsid w:val="00EF0812"/>
    <w:rsid w:val="00F01449"/>
    <w:rsid w:val="00FB4B0A"/>
    <w:rsid w:val="00FD7498"/>
    <w:rsid w:val="00F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6AA7947"/>
  <w15:docId w15:val="{65E72E1D-DFE5-4076-869E-E5F1D9D4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0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59A9"/>
  </w:style>
  <w:style w:type="paragraph" w:styleId="a5">
    <w:name w:val="footer"/>
    <w:basedOn w:val="a"/>
    <w:link w:val="a6"/>
    <w:uiPriority w:val="99"/>
    <w:unhideWhenUsed/>
    <w:rsid w:val="0077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59A9"/>
  </w:style>
  <w:style w:type="paragraph" w:styleId="a7">
    <w:name w:val="Balloon Text"/>
    <w:basedOn w:val="a"/>
    <w:link w:val="a8"/>
    <w:uiPriority w:val="99"/>
    <w:semiHidden/>
    <w:unhideWhenUsed/>
    <w:rsid w:val="007759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759A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0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84E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a">
    <w:name w:val="Table Grid"/>
    <w:basedOn w:val="a1"/>
    <w:uiPriority w:val="59"/>
    <w:rsid w:val="00B10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at@patients.ru" TargetMode="External"/><Relationship Id="rId1" Type="http://schemas.openxmlformats.org/officeDocument/2006/relationships/hyperlink" Target="http://www.patients.ru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!!</Company>
  <LinksUpToDate>false</LinksUpToDate>
  <CharactersWithSpaces>7381</CharactersWithSpaces>
  <SharedDoc>false</SharedDoc>
  <HLinks>
    <vt:vector size="12" baseType="variant">
      <vt:variant>
        <vt:i4>2621452</vt:i4>
      </vt:variant>
      <vt:variant>
        <vt:i4>3</vt:i4>
      </vt:variant>
      <vt:variant>
        <vt:i4>0</vt:i4>
      </vt:variant>
      <vt:variant>
        <vt:i4>5</vt:i4>
      </vt:variant>
      <vt:variant>
        <vt:lpwstr>mailto:pat@patients.ru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http://www.patients.ru/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Windows User</cp:lastModifiedBy>
  <cp:revision>7</cp:revision>
  <cp:lastPrinted>2018-09-17T07:07:00Z</cp:lastPrinted>
  <dcterms:created xsi:type="dcterms:W3CDTF">2018-12-29T09:20:00Z</dcterms:created>
  <dcterms:modified xsi:type="dcterms:W3CDTF">2019-05-20T20:38:00Z</dcterms:modified>
</cp:coreProperties>
</file>