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C0" w:rsidRDefault="00B10CC0" w:rsidP="007E0532">
      <w:pPr>
        <w:widowControl w:val="0"/>
        <w:spacing w:after="120" w:line="240" w:lineRule="auto"/>
        <w:ind w:left="-567"/>
        <w:jc w:val="center"/>
        <w:rPr>
          <w:rFonts w:ascii="Times New Roman" w:hAnsi="Times New Roman"/>
          <w:b/>
          <w:sz w:val="24"/>
          <w:szCs w:val="24"/>
          <w:shd w:val="clear" w:color="auto" w:fill="FFFFFF"/>
          <w:lang w:eastAsia="ru-RU"/>
        </w:rPr>
      </w:pPr>
    </w:p>
    <w:p w:rsidR="00061B87" w:rsidRDefault="00061B87" w:rsidP="00A95D07">
      <w:pPr>
        <w:jc w:val="center"/>
        <w:rPr>
          <w:rFonts w:ascii="Times New Roman" w:hAnsi="Times New Roman" w:cs="Times New Roman"/>
          <w:b/>
          <w:sz w:val="28"/>
          <w:szCs w:val="28"/>
        </w:rPr>
      </w:pPr>
      <w:r>
        <w:rPr>
          <w:rFonts w:ascii="Times New Roman" w:hAnsi="Times New Roman" w:cs="Times New Roman"/>
          <w:b/>
          <w:sz w:val="28"/>
          <w:szCs w:val="28"/>
        </w:rPr>
        <w:t>РЕЗОЛЮЦИЯ</w:t>
      </w:r>
    </w:p>
    <w:p w:rsidR="00061B87" w:rsidRPr="00A95D07" w:rsidRDefault="00061B87" w:rsidP="00A95D07">
      <w:pPr>
        <w:widowControl w:val="0"/>
        <w:autoSpaceDE w:val="0"/>
        <w:autoSpaceDN w:val="0"/>
        <w:adjustRightInd w:val="0"/>
        <w:ind w:left="34"/>
        <w:jc w:val="center"/>
        <w:rPr>
          <w:rFonts w:ascii="Times New Roman" w:hAnsi="Times New Roman" w:cs="Times New Roman"/>
          <w:b/>
          <w:sz w:val="24"/>
          <w:szCs w:val="24"/>
        </w:rPr>
      </w:pPr>
      <w:r w:rsidRPr="00A95D07">
        <w:rPr>
          <w:rFonts w:ascii="Times New Roman" w:hAnsi="Times New Roman" w:cs="Times New Roman"/>
          <w:b/>
          <w:sz w:val="24"/>
          <w:szCs w:val="24"/>
        </w:rPr>
        <w:t xml:space="preserve">Круглого стола по проблемам здравоохранения в </w:t>
      </w:r>
      <w:r w:rsidR="004E41C7">
        <w:rPr>
          <w:rFonts w:ascii="Times New Roman" w:hAnsi="Times New Roman" w:cs="Times New Roman"/>
          <w:b/>
          <w:sz w:val="24"/>
          <w:szCs w:val="24"/>
        </w:rPr>
        <w:t>городах</w:t>
      </w:r>
      <w:r w:rsidRPr="00A95D07">
        <w:rPr>
          <w:rFonts w:ascii="Times New Roman" w:hAnsi="Times New Roman" w:cs="Times New Roman"/>
          <w:b/>
          <w:sz w:val="24"/>
          <w:szCs w:val="24"/>
        </w:rPr>
        <w:t xml:space="preserve"> ЗАТО</w:t>
      </w:r>
    </w:p>
    <w:p w:rsidR="0054579F" w:rsidRPr="00A95D07" w:rsidRDefault="0054579F" w:rsidP="00A95D07">
      <w:pPr>
        <w:widowControl w:val="0"/>
        <w:autoSpaceDE w:val="0"/>
        <w:autoSpaceDN w:val="0"/>
        <w:adjustRightInd w:val="0"/>
        <w:ind w:left="34"/>
        <w:jc w:val="center"/>
        <w:rPr>
          <w:rFonts w:ascii="Times New Roman" w:hAnsi="Times New Roman" w:cs="Times New Roman"/>
          <w:b/>
          <w:i/>
          <w:sz w:val="24"/>
          <w:szCs w:val="24"/>
        </w:rPr>
      </w:pPr>
      <w:r w:rsidRPr="00A95D07">
        <w:rPr>
          <w:rFonts w:ascii="Times New Roman" w:hAnsi="Times New Roman" w:cs="Times New Roman"/>
          <w:b/>
          <w:i/>
          <w:sz w:val="24"/>
          <w:szCs w:val="24"/>
        </w:rPr>
        <w:t>Россия, Москва, 29 ноября 2018 года</w:t>
      </w:r>
    </w:p>
    <w:p w:rsidR="00061B87" w:rsidRDefault="0054579F" w:rsidP="00A37F7F">
      <w:pPr>
        <w:widowControl w:val="0"/>
        <w:autoSpaceDE w:val="0"/>
        <w:autoSpaceDN w:val="0"/>
        <w:adjustRightInd w:val="0"/>
        <w:ind w:left="34" w:firstLine="674"/>
        <w:jc w:val="both"/>
        <w:rPr>
          <w:rFonts w:ascii="Times New Roman" w:hAnsi="Times New Roman" w:cs="Times New Roman"/>
          <w:sz w:val="24"/>
        </w:rPr>
      </w:pPr>
      <w:r>
        <w:rPr>
          <w:rFonts w:ascii="Times New Roman" w:hAnsi="Times New Roman" w:cs="Times New Roman"/>
          <w:sz w:val="24"/>
        </w:rPr>
        <w:t>Н</w:t>
      </w:r>
      <w:r w:rsidR="00061B87" w:rsidRPr="008D667E">
        <w:rPr>
          <w:rFonts w:ascii="Times New Roman" w:hAnsi="Times New Roman" w:cs="Times New Roman"/>
          <w:sz w:val="24"/>
        </w:rPr>
        <w:t>а площадке IХ Всероссийского конгресса пациентов «Взаимодействие власти и пациентского сообщества как основа построения пациент-ориентированного здравоохр</w:t>
      </w:r>
      <w:r>
        <w:rPr>
          <w:rFonts w:ascii="Times New Roman" w:hAnsi="Times New Roman" w:cs="Times New Roman"/>
          <w:sz w:val="24"/>
        </w:rPr>
        <w:t xml:space="preserve">анения в Российской Федерации» </w:t>
      </w:r>
      <w:r w:rsidR="00061B87" w:rsidRPr="008D667E">
        <w:rPr>
          <w:rFonts w:ascii="Times New Roman" w:hAnsi="Times New Roman" w:cs="Times New Roman"/>
          <w:sz w:val="24"/>
        </w:rPr>
        <w:t>состоялся круглый стол</w:t>
      </w:r>
      <w:r w:rsidR="00061B87">
        <w:rPr>
          <w:rFonts w:ascii="Times New Roman" w:hAnsi="Times New Roman" w:cs="Times New Roman"/>
          <w:sz w:val="24"/>
        </w:rPr>
        <w:t xml:space="preserve"> «</w:t>
      </w:r>
      <w:r w:rsidR="00061B87" w:rsidRPr="00061B87">
        <w:rPr>
          <w:rFonts w:ascii="Times New Roman" w:hAnsi="Times New Roman" w:cs="Times New Roman"/>
          <w:sz w:val="24"/>
        </w:rPr>
        <w:t>по проблемам здравоохранения в городах ЗАТО</w:t>
      </w:r>
      <w:r w:rsidR="00061B87">
        <w:rPr>
          <w:rFonts w:ascii="Times New Roman" w:hAnsi="Times New Roman" w:cs="Times New Roman"/>
          <w:sz w:val="24"/>
        </w:rPr>
        <w:t xml:space="preserve"> атомной отрасли».</w:t>
      </w:r>
    </w:p>
    <w:p w:rsidR="00061B87" w:rsidRPr="003E79A5" w:rsidRDefault="00621648" w:rsidP="00621648">
      <w:pPr>
        <w:spacing w:after="80" w:line="240" w:lineRule="auto"/>
        <w:ind w:firstLine="708"/>
        <w:jc w:val="both"/>
        <w:rPr>
          <w:rFonts w:ascii="Times New Roman" w:hAnsi="Times New Roman" w:cs="Times New Roman"/>
          <w:b/>
          <w:sz w:val="28"/>
          <w:szCs w:val="28"/>
        </w:rPr>
      </w:pPr>
      <w:r>
        <w:rPr>
          <w:rFonts w:ascii="Times New Roman" w:hAnsi="Times New Roman" w:cs="Times New Roman"/>
          <w:sz w:val="24"/>
        </w:rPr>
        <w:t xml:space="preserve">В </w:t>
      </w:r>
      <w:r w:rsidR="00061B87" w:rsidRPr="008D667E">
        <w:rPr>
          <w:rFonts w:ascii="Times New Roman" w:hAnsi="Times New Roman" w:cs="Times New Roman"/>
          <w:sz w:val="24"/>
        </w:rPr>
        <w:t xml:space="preserve">работе круглого стола приняли участие </w:t>
      </w:r>
      <w:r w:rsidR="00DE311F" w:rsidRPr="006672BA">
        <w:rPr>
          <w:rFonts w:ascii="Times New Roman" w:hAnsi="Times New Roman" w:cs="Times New Roman"/>
          <w:sz w:val="24"/>
          <w:szCs w:val="24"/>
        </w:rPr>
        <w:t>представители пациентских организаций, представители экспертных, медицин</w:t>
      </w:r>
      <w:r w:rsidR="00DE311F">
        <w:rPr>
          <w:rFonts w:ascii="Times New Roman" w:hAnsi="Times New Roman" w:cs="Times New Roman"/>
          <w:sz w:val="24"/>
          <w:szCs w:val="24"/>
        </w:rPr>
        <w:t>ских и общественных организаций,</w:t>
      </w:r>
      <w:r w:rsidR="00061B87" w:rsidRPr="008D667E">
        <w:rPr>
          <w:rFonts w:ascii="Times New Roman" w:hAnsi="Times New Roman" w:cs="Times New Roman"/>
          <w:sz w:val="24"/>
        </w:rPr>
        <w:t xml:space="preserve"> ключевые лидеры мнений.</w:t>
      </w:r>
    </w:p>
    <w:p w:rsidR="00061B87" w:rsidRPr="006A14F3" w:rsidRDefault="00061B87" w:rsidP="00621648">
      <w:pPr>
        <w:ind w:firstLine="708"/>
        <w:jc w:val="both"/>
        <w:rPr>
          <w:rFonts w:ascii="Times New Roman" w:hAnsi="Times New Roman" w:cs="Times New Roman"/>
          <w:sz w:val="24"/>
        </w:rPr>
      </w:pPr>
      <w:r w:rsidRPr="006A14F3">
        <w:rPr>
          <w:rFonts w:ascii="Times New Roman" w:hAnsi="Times New Roman" w:cs="Times New Roman"/>
          <w:sz w:val="24"/>
        </w:rPr>
        <w:t>Доступность и качество медицинской помощи в медицинских организациях ФМБА России, обслуживающих население и работников ЗАТО, предприятий Госкорпорации «Росатом», обеспечиваются реализацией плановых объемов государственного задания и территориальных программ обязательного медицинского страхования. Созданная более 70 лет назад система медико-санитарного обслуживания даже в условиях оптимизации здравоохранения обеспечивает достойный уровень обслуживаемого населения.</w:t>
      </w:r>
    </w:p>
    <w:p w:rsidR="00061B87" w:rsidRPr="006A14F3" w:rsidRDefault="00061B87" w:rsidP="00061B87">
      <w:pPr>
        <w:ind w:firstLine="708"/>
        <w:jc w:val="both"/>
        <w:rPr>
          <w:rFonts w:ascii="Times New Roman" w:hAnsi="Times New Roman" w:cs="Times New Roman"/>
          <w:sz w:val="24"/>
        </w:rPr>
      </w:pPr>
      <w:r w:rsidRPr="006A14F3">
        <w:rPr>
          <w:rFonts w:ascii="Times New Roman" w:hAnsi="Times New Roman" w:cs="Times New Roman"/>
          <w:sz w:val="24"/>
        </w:rPr>
        <w:t xml:space="preserve">Вместе с тем в последние годы наметились серьезные проблемы в финансовом обеспечении медицинских организаций ФМБА России. В рамках поэтапного перевода федеральных медицинских организаций на финансирование преимущественно за счет средств обязательного медицинского страхования, средства федерального бюджета, предусмотренные на финансовое обеспечение деятельности учреждений, были значительно сокращены. Изменилась доля источников финансирования. Средства федерального бюджета теперь составляют 36% вместо 64% в 2013 г., доля поступлений ОМС повысилась с 36% в 2013 г. до 64% в 2018 г. По факту на сегодняшний день программа ОМС недофинансирована и не покрывает всех расходов медицинских учреждений ФМБА России, обладающих большим имущественным комплексом, прикрепленным контингентом, работающим и проживающим в условиях режимных ограничений в ЗАТО, находящихся на значительном удалении от региональных центров. Существующее финансовое обеспечение медицинских организаций ФМБА России приводит к невозможности модернизировать медицинское оборудование, проводить капитальные ремонты и реконструкции зданий, оттоку медицинских кадров, ухудшает доступность и качество медицинской помощи работникам оборонных предприятий и жителей ЗАТО. На сегодняшний день дефицит медицинских работников составляет от 15 до 30%. Среди работающего персонала специалисты предпенсионного и пенсионного возраста составляют более 30%. </w:t>
      </w:r>
    </w:p>
    <w:p w:rsidR="00645921" w:rsidRDefault="00061B87" w:rsidP="00061B87">
      <w:pPr>
        <w:ind w:firstLine="708"/>
        <w:jc w:val="both"/>
        <w:rPr>
          <w:rFonts w:ascii="Times New Roman" w:hAnsi="Times New Roman" w:cs="Times New Roman"/>
          <w:sz w:val="24"/>
        </w:rPr>
      </w:pPr>
      <w:r w:rsidRPr="006A14F3">
        <w:rPr>
          <w:rFonts w:ascii="Times New Roman" w:hAnsi="Times New Roman" w:cs="Times New Roman"/>
          <w:sz w:val="24"/>
        </w:rPr>
        <w:t xml:space="preserve">Наиболее значимыми для населения критериями оценки деятельности медицинского учреждения являются качество и доступность медицинской помощи. </w:t>
      </w:r>
      <w:r w:rsidRPr="006A14F3">
        <w:rPr>
          <w:rFonts w:ascii="Times New Roman" w:hAnsi="Times New Roman" w:cs="Times New Roman"/>
          <w:sz w:val="24"/>
        </w:rPr>
        <w:lastRenderedPageBreak/>
        <w:t xml:space="preserve">Федеральный проект «Бережливая поликлиника» является перспективным направлением совместной работы ФМБА России и Госкорпорации «Росатом» по улучшению доступности медицинского обслуживания населения. Важно отметить, что проект «Бережливая поликлиника» реализуется в условиях системных проблем здравоохранения, являющихся общими для учреждений медицины разных уровней и ведомственной принадлежности. В ходе реализации федерального проекта «Бережливая поликлиника» были достигнуты положительные изменения в части обеспечения доступности медицинской помощи, которые высоко оценены населением и экспертами. При минимальном вложении средств удалось добиться улучшения комфортности пребывания пациентов в медучреждениях, снижения нагрузки на медицинский персонал за счет совершенствования процессов, сокращения трудозатрат и стандартизации работы в медицинских учреждениях. </w:t>
      </w:r>
    </w:p>
    <w:p w:rsidR="008F5AB3" w:rsidRPr="008D667E" w:rsidRDefault="008F5AB3" w:rsidP="008F5AB3">
      <w:pPr>
        <w:spacing w:before="120" w:after="120" w:line="240" w:lineRule="auto"/>
        <w:ind w:firstLine="708"/>
        <w:jc w:val="both"/>
        <w:rPr>
          <w:rFonts w:ascii="Times New Roman" w:hAnsi="Times New Roman" w:cs="Times New Roman"/>
          <w:color w:val="538135" w:themeColor="accent6" w:themeShade="BF"/>
          <w:sz w:val="24"/>
        </w:rPr>
      </w:pPr>
      <w:r w:rsidRPr="008D667E">
        <w:rPr>
          <w:rFonts w:ascii="Times New Roman" w:hAnsi="Times New Roman" w:cs="Times New Roman"/>
          <w:b/>
          <w:sz w:val="24"/>
        </w:rPr>
        <w:t>Рекомендации участников круглого стола</w:t>
      </w:r>
    </w:p>
    <w:p w:rsidR="00061B87" w:rsidRPr="006A14F3" w:rsidRDefault="00061B87" w:rsidP="00061B87">
      <w:pPr>
        <w:ind w:firstLine="708"/>
        <w:jc w:val="both"/>
        <w:rPr>
          <w:rFonts w:ascii="Times New Roman" w:hAnsi="Times New Roman" w:cs="Times New Roman"/>
          <w:sz w:val="24"/>
        </w:rPr>
      </w:pPr>
      <w:r w:rsidRPr="006A14F3">
        <w:rPr>
          <w:rFonts w:ascii="Times New Roman" w:hAnsi="Times New Roman" w:cs="Times New Roman"/>
          <w:sz w:val="24"/>
        </w:rPr>
        <w:t xml:space="preserve">Для обеспечения требуемого качества медицинской помощи населению ЗАТО в целях исполнения Указа Президента Российской Федерации В.В. Путина «О национальных целях и стратегических задачах Российской Федерации на период до 2024 года» </w:t>
      </w:r>
      <w:r w:rsidRPr="008F5AB3">
        <w:rPr>
          <w:rFonts w:ascii="Times New Roman" w:hAnsi="Times New Roman" w:cs="Times New Roman"/>
          <w:b/>
          <w:sz w:val="24"/>
        </w:rPr>
        <w:t>необходимо принятие ряда срочных мер на уровне Правительства Российской Федерации</w:t>
      </w:r>
      <w:r w:rsidRPr="006A14F3">
        <w:rPr>
          <w:rFonts w:ascii="Times New Roman" w:hAnsi="Times New Roman" w:cs="Times New Roman"/>
          <w:sz w:val="24"/>
        </w:rPr>
        <w:t>:</w:t>
      </w:r>
    </w:p>
    <w:p w:rsidR="00061B87" w:rsidRPr="006A14F3" w:rsidRDefault="00061B87" w:rsidP="00061B87">
      <w:pPr>
        <w:pStyle w:val="ab"/>
        <w:numPr>
          <w:ilvl w:val="0"/>
          <w:numId w:val="2"/>
        </w:numPr>
        <w:jc w:val="both"/>
        <w:rPr>
          <w:rFonts w:ascii="Times New Roman" w:hAnsi="Times New Roman" w:cs="Times New Roman"/>
          <w:sz w:val="24"/>
        </w:rPr>
      </w:pPr>
      <w:r w:rsidRPr="006A14F3">
        <w:rPr>
          <w:rFonts w:ascii="Times New Roman" w:hAnsi="Times New Roman" w:cs="Times New Roman"/>
          <w:sz w:val="24"/>
        </w:rPr>
        <w:t>Введение в Федеральном фонде ОМС отдельной статьи по финансированию федеральных медицинских организаций ФМБА России на территории ЗАТО и других городов размещения организаций атомной промышленности. Законодательное закрепление положения о применении повышающих коэффициентов к расходам на оказание медицинской помощи в системе ОМС на оплату медицинской помощи, оказываемой населению ЗАТО, на территории которых расположены федеральные ядерные организации, медицинским организациями ФМБА России. Внесение изменений в ст.30 Федерального закона от 29.11.2010 №326-ФЗ «Об обязательном медицинском страховании в РФ».</w:t>
      </w:r>
    </w:p>
    <w:p w:rsidR="00061B87" w:rsidRPr="006A14F3" w:rsidRDefault="00061B87" w:rsidP="00061B87">
      <w:pPr>
        <w:pStyle w:val="ab"/>
        <w:numPr>
          <w:ilvl w:val="0"/>
          <w:numId w:val="2"/>
        </w:numPr>
        <w:jc w:val="both"/>
        <w:rPr>
          <w:rFonts w:ascii="Times New Roman" w:hAnsi="Times New Roman" w:cs="Times New Roman"/>
          <w:sz w:val="24"/>
        </w:rPr>
      </w:pPr>
      <w:r w:rsidRPr="006A14F3">
        <w:rPr>
          <w:rFonts w:ascii="Times New Roman" w:hAnsi="Times New Roman" w:cs="Times New Roman"/>
          <w:sz w:val="24"/>
        </w:rPr>
        <w:t xml:space="preserve">Внесение изменений в Закон РФ от 14.07.1992 №3297-1 «О закрытом административно-территориальном образовании» в части дополнения статьи 7 положениями, предусматривающими привлечение в ЗАТО медицинских работников с предоставлением единовременных компенсационных выплат и иных социальных гарантий стимулирующего характера (рабочее название программы – «Атомный доктор»). Изменение федерального законодательства в части распространения действия программ «Земский доктор» и «Земский фельдшер» на сельские территории, входящие в состав ЗАТО. </w:t>
      </w:r>
    </w:p>
    <w:p w:rsidR="00061B87" w:rsidRPr="006A14F3" w:rsidRDefault="00061B87" w:rsidP="00061B87">
      <w:pPr>
        <w:pStyle w:val="ab"/>
        <w:numPr>
          <w:ilvl w:val="0"/>
          <w:numId w:val="2"/>
        </w:numPr>
        <w:jc w:val="both"/>
        <w:rPr>
          <w:rFonts w:ascii="Times New Roman" w:hAnsi="Times New Roman" w:cs="Times New Roman"/>
          <w:sz w:val="24"/>
        </w:rPr>
      </w:pPr>
      <w:r w:rsidRPr="006A14F3">
        <w:rPr>
          <w:rFonts w:ascii="Times New Roman" w:hAnsi="Times New Roman" w:cs="Times New Roman"/>
          <w:sz w:val="24"/>
        </w:rPr>
        <w:t>Эффективное использование программы целевого обучения в медицинских ВУЗах страны. Внедрение пилотного проекта ФМБА России по введению распределения выпускников федеральных государственных бюджетных образовательных учреждений, получающих высшее медицинское образование за счет средств федерального бюджета. Увеличение квот для ФМБА России на целевое обучение в ординатуре по направлению подготовки «Клиническая медицина» для нужд медицинских организаций, расположенных в ЗАТО Госкорпорации «Росатом».</w:t>
      </w:r>
    </w:p>
    <w:p w:rsidR="00061B87" w:rsidRPr="006A14F3" w:rsidRDefault="00061B87" w:rsidP="00061B87">
      <w:pPr>
        <w:pStyle w:val="ab"/>
        <w:numPr>
          <w:ilvl w:val="0"/>
          <w:numId w:val="2"/>
        </w:numPr>
        <w:jc w:val="both"/>
        <w:rPr>
          <w:rFonts w:ascii="Times New Roman" w:hAnsi="Times New Roman" w:cs="Times New Roman"/>
          <w:sz w:val="24"/>
        </w:rPr>
      </w:pPr>
      <w:r w:rsidRPr="006A14F3">
        <w:rPr>
          <w:rFonts w:ascii="Times New Roman" w:hAnsi="Times New Roman" w:cs="Times New Roman"/>
          <w:sz w:val="24"/>
        </w:rPr>
        <w:lastRenderedPageBreak/>
        <w:t>Разработка программы модернизации здравоохранения в ЗАТО и других городах размещения организаций атомной промышленности на 2019 год и до 2024 года.</w:t>
      </w:r>
    </w:p>
    <w:p w:rsidR="00061B87" w:rsidRPr="006A14F3" w:rsidRDefault="00061B87" w:rsidP="00061B87">
      <w:pPr>
        <w:pStyle w:val="ab"/>
        <w:numPr>
          <w:ilvl w:val="0"/>
          <w:numId w:val="2"/>
        </w:numPr>
        <w:jc w:val="both"/>
        <w:rPr>
          <w:rFonts w:ascii="Times New Roman" w:hAnsi="Times New Roman" w:cs="Times New Roman"/>
          <w:sz w:val="24"/>
        </w:rPr>
      </w:pPr>
      <w:r w:rsidRPr="006A14F3">
        <w:rPr>
          <w:rFonts w:ascii="Times New Roman" w:hAnsi="Times New Roman" w:cs="Times New Roman"/>
          <w:sz w:val="24"/>
        </w:rPr>
        <w:t>Развитие системы дополнительного медицинского страхования. Определение дополнительных источ</w:t>
      </w:r>
      <w:r w:rsidR="00621648">
        <w:rPr>
          <w:rFonts w:ascii="Times New Roman" w:hAnsi="Times New Roman" w:cs="Times New Roman"/>
          <w:sz w:val="24"/>
        </w:rPr>
        <w:t xml:space="preserve">ников финансирования. Включение </w:t>
      </w:r>
      <w:r w:rsidRPr="006A14F3">
        <w:rPr>
          <w:rFonts w:ascii="Times New Roman" w:hAnsi="Times New Roman" w:cs="Times New Roman"/>
          <w:sz w:val="24"/>
        </w:rPr>
        <w:t xml:space="preserve">ЗАТО в региональные программы здравоохранения. </w:t>
      </w:r>
    </w:p>
    <w:p w:rsidR="00061B87" w:rsidRPr="006A14F3" w:rsidRDefault="00061B87" w:rsidP="00061B87">
      <w:pPr>
        <w:jc w:val="both"/>
        <w:rPr>
          <w:rFonts w:ascii="Times New Roman" w:hAnsi="Times New Roman" w:cs="Times New Roman"/>
          <w:sz w:val="24"/>
        </w:rPr>
      </w:pPr>
      <w:bookmarkStart w:id="0" w:name="_GoBack"/>
      <w:bookmarkEnd w:id="0"/>
    </w:p>
    <w:p w:rsidR="00B8123D" w:rsidRPr="006A14F3" w:rsidRDefault="00B8123D" w:rsidP="000B311C">
      <w:pPr>
        <w:widowControl w:val="0"/>
        <w:spacing w:after="0" w:line="240" w:lineRule="auto"/>
        <w:ind w:firstLine="567"/>
        <w:jc w:val="both"/>
        <w:rPr>
          <w:rFonts w:ascii="Times New Roman" w:hAnsi="Times New Roman" w:cs="Times New Roman"/>
          <w:sz w:val="24"/>
        </w:rPr>
      </w:pPr>
    </w:p>
    <w:sectPr w:rsidR="00B8123D" w:rsidRPr="006A14F3" w:rsidSect="00B8123D">
      <w:footerReference w:type="default" r:id="rId7"/>
      <w:headerReference w:type="first" r:id="rId8"/>
      <w:footerReference w:type="first" r:id="rId9"/>
      <w:pgSz w:w="11906" w:h="16838"/>
      <w:pgMar w:top="1134" w:right="850" w:bottom="1134" w:left="1701" w:header="1103"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83" w:rsidRDefault="00096F83" w:rsidP="007759A9">
      <w:pPr>
        <w:spacing w:after="0" w:line="240" w:lineRule="auto"/>
      </w:pPr>
      <w:r>
        <w:separator/>
      </w:r>
    </w:p>
  </w:endnote>
  <w:endnote w:type="continuationSeparator" w:id="0">
    <w:p w:rsidR="00096F83" w:rsidRDefault="00096F83" w:rsidP="0077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1B5500" w:rsidRDefault="00545934" w:rsidP="00A71DF4">
    <w:pPr>
      <w:pStyle w:val="a5"/>
      <w:jc w:val="center"/>
      <w:rPr>
        <w:rFonts w:ascii="Times New Roman" w:hAnsi="Times New Roman"/>
        <w:color w:val="595959"/>
      </w:rPr>
    </w:pPr>
    <w:r>
      <w:rPr>
        <w:rFonts w:ascii="Times New Roman" w:hAnsi="Times New Roman"/>
        <w:noProof/>
        <w:color w:val="595959"/>
        <w:lang w:eastAsia="ru-RU"/>
      </w:rPr>
      <w:drawing>
        <wp:anchor distT="0" distB="0" distL="114300" distR="114300" simplePos="0" relativeHeight="251654144" behindDoc="0" locked="0" layoutInCell="1" allowOverlap="1">
          <wp:simplePos x="0" y="0"/>
          <wp:positionH relativeFrom="column">
            <wp:posOffset>-798195</wp:posOffset>
          </wp:positionH>
          <wp:positionV relativeFrom="paragraph">
            <wp:posOffset>-69850</wp:posOffset>
          </wp:positionV>
          <wp:extent cx="7053580" cy="223520"/>
          <wp:effectExtent l="19050" t="0" r="0" b="0"/>
          <wp:wrapNone/>
          <wp:docPr id="10" name="Рисунок 4"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r w:rsidR="00181919" w:rsidRPr="001B5500">
      <w:rPr>
        <w:rFonts w:ascii="Times New Roman" w:hAnsi="Times New Roman"/>
        <w:color w:val="595959"/>
      </w:rPr>
      <w:fldChar w:fldCharType="begin"/>
    </w:r>
    <w:r w:rsidR="004730C0" w:rsidRPr="001B5500">
      <w:rPr>
        <w:rFonts w:ascii="Times New Roman" w:hAnsi="Times New Roman"/>
        <w:color w:val="595959"/>
      </w:rPr>
      <w:instrText xml:space="preserve"> PAGE   \* MERGEFORMAT </w:instrText>
    </w:r>
    <w:r w:rsidR="00181919" w:rsidRPr="001B5500">
      <w:rPr>
        <w:rFonts w:ascii="Times New Roman" w:hAnsi="Times New Roman"/>
        <w:color w:val="595959"/>
      </w:rPr>
      <w:fldChar w:fldCharType="separate"/>
    </w:r>
    <w:r w:rsidR="00247ADA">
      <w:rPr>
        <w:rFonts w:ascii="Times New Roman" w:hAnsi="Times New Roman"/>
        <w:noProof/>
        <w:color w:val="595959"/>
      </w:rPr>
      <w:t>3</w:t>
    </w:r>
    <w:r w:rsidR="00181919" w:rsidRPr="001B5500">
      <w:rPr>
        <w:rFonts w:ascii="Times New Roman" w:hAnsi="Times New Roman"/>
        <w:color w:val="59595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Default="004730C0" w:rsidP="00EA0E4F">
    <w:pPr>
      <w:pStyle w:val="a5"/>
      <w:jc w:val="center"/>
      <w:rPr>
        <w:rFonts w:ascii="Times New Roman" w:hAnsi="Times New Roman"/>
        <w:color w:val="7F7F7F"/>
      </w:rPr>
    </w:pPr>
  </w:p>
  <w:p w:rsidR="004730C0" w:rsidRPr="00EA0E4F" w:rsidRDefault="00545934" w:rsidP="00EA0E4F">
    <w:pPr>
      <w:pStyle w:val="a5"/>
      <w:jc w:val="center"/>
      <w:rPr>
        <w:rFonts w:ascii="Times New Roman" w:hAnsi="Times New Roman"/>
        <w:color w:val="7F7F7F"/>
      </w:rPr>
    </w:pPr>
    <w:r>
      <w:rPr>
        <w:rFonts w:ascii="Times New Roman" w:hAnsi="Times New Roman"/>
        <w:noProof/>
        <w:color w:val="7F7F7F"/>
        <w:lang w:eastAsia="ru-RU"/>
      </w:rPr>
      <w:drawing>
        <wp:anchor distT="0" distB="0" distL="114300" distR="114300" simplePos="0" relativeHeight="251660288" behindDoc="0" locked="0" layoutInCell="1" allowOverlap="1">
          <wp:simplePos x="0" y="0"/>
          <wp:positionH relativeFrom="column">
            <wp:posOffset>-749300</wp:posOffset>
          </wp:positionH>
          <wp:positionV relativeFrom="paragraph">
            <wp:posOffset>-19050</wp:posOffset>
          </wp:positionV>
          <wp:extent cx="7053580" cy="223520"/>
          <wp:effectExtent l="19050" t="0" r="0" b="0"/>
          <wp:wrapNone/>
          <wp:docPr id="1" name="Рисунок 1"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83" w:rsidRDefault="00096F83" w:rsidP="007759A9">
      <w:pPr>
        <w:spacing w:after="0" w:line="240" w:lineRule="auto"/>
      </w:pPr>
      <w:r>
        <w:separator/>
      </w:r>
    </w:p>
  </w:footnote>
  <w:footnote w:type="continuationSeparator" w:id="0">
    <w:p w:rsidR="00096F83" w:rsidRDefault="00096F83" w:rsidP="0077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D44D84" w:rsidRDefault="00096F83" w:rsidP="00EA0E4F">
    <w:pPr>
      <w:spacing w:after="0" w:line="240" w:lineRule="auto"/>
      <w:rPr>
        <w:sz w:val="28"/>
        <w:szCs w:val="28"/>
      </w:rPr>
    </w:pPr>
    <w:r>
      <w:rPr>
        <w:noProof/>
      </w:rPr>
      <w:pict>
        <v:shapetype id="_x0000_t202" coordsize="21600,21600" o:spt="202" path="m,l,21600r21600,l21600,xe">
          <v:stroke joinstyle="miter"/>
          <v:path gradientshapeok="t" o:connecttype="rect"/>
        </v:shapetype>
        <v:shape id="Text Box 17" o:spid="_x0000_s2057" type="#_x0000_t202" style="position:absolute;margin-left:-29.35pt;margin-top:-21.45pt;width:175.2pt;height:26.25pt;z-index:251658240;visibility:visible;mso-height-percent:0;mso-wrap-distance-left:9pt;mso-wrap-distance-top:0;mso-wrap-distance-right:9pt;mso-wrap-distance-bottom:0;mso-position-horizontal-relative:text;mso-position-vertical-relative:text;mso-height-percent:0;mso-width-relative:page;mso-height-relative:page;v-text-anchor:top" stroked="f">
          <v:fill opacity="56283f"/>
          <v:path arrowok="t"/>
          <v:textbox style="mso-next-textbox:#Text Box 17" inset=".5mm,.5mm,.5mm,.5mm">
            <w:txbxContent>
              <w:p w:rsidR="004730C0" w:rsidRPr="00B8123D" w:rsidRDefault="00C00F9E" w:rsidP="00C00F9E">
                <w:pPr>
                  <w:widowControl w:val="0"/>
                  <w:autoSpaceDE w:val="0"/>
                  <w:autoSpaceDN w:val="0"/>
                  <w:spacing w:after="0" w:line="240" w:lineRule="auto"/>
                  <w:rPr>
                    <w:rFonts w:ascii="Times New Roman" w:eastAsia="Times New Roman" w:hAnsi="Times New Roman"/>
                    <w:color w:val="595959"/>
                    <w:sz w:val="19"/>
                    <w:szCs w:val="19"/>
                  </w:rPr>
                </w:pPr>
                <w:r w:rsidRPr="00B8123D">
                  <w:rPr>
                    <w:rFonts w:ascii="Times New Roman" w:hAnsi="Times New Roman"/>
                    <w:color w:val="595959"/>
                    <w:sz w:val="19"/>
                    <w:szCs w:val="19"/>
                  </w:rPr>
                  <w:t>+</w:t>
                </w:r>
                <w:r w:rsidR="00B8123D"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612</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20</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 xml:space="preserve">53, </w:t>
                </w:r>
                <w:r w:rsidR="00B8123D" w:rsidRPr="00B8123D">
                  <w:rPr>
                    <w:rFonts w:ascii="Times New Roman" w:hAnsi="Times New Roman"/>
                    <w:color w:val="595959"/>
                    <w:sz w:val="19"/>
                    <w:szCs w:val="19"/>
                  </w:rPr>
                  <w:t>+</w:t>
                </w:r>
                <w:r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748</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05</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10</w:t>
                </w:r>
              </w:p>
              <w:p w:rsidR="004730C0" w:rsidRPr="00B8123D" w:rsidRDefault="00096F83" w:rsidP="00C00F9E">
                <w:pPr>
                  <w:widowControl w:val="0"/>
                  <w:autoSpaceDE w:val="0"/>
                  <w:autoSpaceDN w:val="0"/>
                  <w:spacing w:after="0" w:line="240" w:lineRule="auto"/>
                  <w:rPr>
                    <w:rFonts w:ascii="Times New Roman" w:eastAsia="Times New Roman" w:hAnsi="Times New Roman"/>
                    <w:color w:val="595959"/>
                    <w:spacing w:val="4"/>
                    <w:sz w:val="19"/>
                    <w:szCs w:val="19"/>
                  </w:rPr>
                </w:pPr>
                <w:hyperlink r:id="rId1">
                  <w:r w:rsidR="004730C0" w:rsidRPr="00B8123D">
                    <w:rPr>
                      <w:rFonts w:ascii="Times New Roman" w:eastAsia="Times New Roman" w:hAnsi="Times New Roman"/>
                      <w:color w:val="595959"/>
                      <w:spacing w:val="4"/>
                      <w:sz w:val="19"/>
                      <w:szCs w:val="19"/>
                    </w:rPr>
                    <w:t>www.patients.ru</w:t>
                  </w:r>
                </w:hyperlink>
                <w:r w:rsidR="004730C0" w:rsidRPr="00B8123D">
                  <w:rPr>
                    <w:rFonts w:ascii="Times New Roman" w:eastAsia="Times New Roman" w:hAnsi="Times New Roman"/>
                    <w:color w:val="595959"/>
                    <w:spacing w:val="4"/>
                    <w:sz w:val="19"/>
                    <w:szCs w:val="19"/>
                  </w:rPr>
                  <w:t xml:space="preserve">,  </w:t>
                </w:r>
                <w:r w:rsidR="00B8123D">
                  <w:rPr>
                    <w:rFonts w:ascii="Times New Roman" w:eastAsia="Times New Roman" w:hAnsi="Times New Roman"/>
                    <w:color w:val="595959"/>
                    <w:spacing w:val="4"/>
                    <w:sz w:val="19"/>
                    <w:szCs w:val="19"/>
                  </w:rPr>
                  <w:t xml:space="preserve"> </w:t>
                </w:r>
                <w:r w:rsidR="004730C0" w:rsidRPr="00B8123D">
                  <w:rPr>
                    <w:rFonts w:ascii="Times New Roman" w:eastAsia="Times New Roman" w:hAnsi="Times New Roman"/>
                    <w:color w:val="595959"/>
                    <w:spacing w:val="4"/>
                    <w:sz w:val="19"/>
                    <w:szCs w:val="19"/>
                  </w:rPr>
                  <w:t xml:space="preserve"> </w:t>
                </w:r>
                <w:r w:rsidR="00B8123D" w:rsidRPr="00B8123D">
                  <w:rPr>
                    <w:rFonts w:ascii="Times New Roman" w:eastAsia="Times New Roman" w:hAnsi="Times New Roman"/>
                    <w:color w:val="595959"/>
                    <w:spacing w:val="4"/>
                    <w:sz w:val="19"/>
                    <w:szCs w:val="19"/>
                  </w:rPr>
                  <w:t xml:space="preserve"> </w:t>
                </w:r>
                <w:hyperlink r:id="rId2">
                  <w:r w:rsidR="004730C0" w:rsidRPr="00B8123D">
                    <w:rPr>
                      <w:rFonts w:ascii="Times New Roman" w:eastAsia="Times New Roman" w:hAnsi="Times New Roman"/>
                      <w:color w:val="595959"/>
                      <w:spacing w:val="4"/>
                      <w:sz w:val="19"/>
                      <w:szCs w:val="19"/>
                    </w:rPr>
                    <w:t>pat@patients.ru</w:t>
                  </w:r>
                </w:hyperlink>
              </w:p>
            </w:txbxContent>
          </v:textbox>
        </v:shape>
      </w:pict>
    </w:r>
    <w:r w:rsidR="00545934">
      <w:rPr>
        <w:noProof/>
        <w:sz w:val="28"/>
        <w:szCs w:val="28"/>
        <w:lang w:eastAsia="ru-RU"/>
      </w:rPr>
      <w:drawing>
        <wp:anchor distT="0" distB="0" distL="114300" distR="114300" simplePos="0" relativeHeight="251659264" behindDoc="0" locked="0" layoutInCell="1" allowOverlap="1">
          <wp:simplePos x="0" y="0"/>
          <wp:positionH relativeFrom="column">
            <wp:posOffset>4541520</wp:posOffset>
          </wp:positionH>
          <wp:positionV relativeFrom="paragraph">
            <wp:posOffset>-516890</wp:posOffset>
          </wp:positionV>
          <wp:extent cx="1188720" cy="1203325"/>
          <wp:effectExtent l="0" t="0" r="0"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
                  <a:srcRect/>
                  <a:stretch>
                    <a:fillRect/>
                  </a:stretch>
                </pic:blipFill>
                <pic:spPr bwMode="auto">
                  <a:xfrm>
                    <a:off x="0" y="0"/>
                    <a:ext cx="1188720" cy="1203325"/>
                  </a:xfrm>
                  <a:prstGeom prst="rect">
                    <a:avLst/>
                  </a:prstGeom>
                  <a:noFill/>
                </pic:spPr>
              </pic:pic>
            </a:graphicData>
          </a:graphic>
        </wp:anchor>
      </w:drawing>
    </w:r>
    <w:r>
      <w:rPr>
        <w:noProof/>
      </w:rPr>
      <w:pict>
        <v:shape id="Text Box 16" o:spid="_x0000_s2055" type="#_x0000_t202" style="position:absolute;margin-left:162.15pt;margin-top:-21.9pt;width:136.1pt;height:39.3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119 0 -119 21185 21600 21185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" stroked="f">
          <v:path arrowok="t"/>
          <v:textbox style="mso-next-textbox:#Text Box 16" inset=".5mm,.5mm,.5mm,.5mm">
            <w:txbxContent>
              <w:p w:rsidR="004730C0" w:rsidRDefault="004730C0" w:rsidP="00EA0E4F">
                <w:pPr>
                  <w:widowControl w:val="0"/>
                  <w:autoSpaceDE w:val="0"/>
                  <w:autoSpaceDN w:val="0"/>
                  <w:spacing w:after="0" w:line="240" w:lineRule="auto"/>
                  <w:jc w:val="both"/>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Российская Федерация, 125167,</w:t>
                </w:r>
                <w:r w:rsidRPr="00925CDD">
                  <w:rPr>
                    <w:rFonts w:ascii="Times New Roman" w:eastAsia="Times New Roman" w:hAnsi="Times New Roman"/>
                    <w:color w:val="595959"/>
                    <w:sz w:val="19"/>
                    <w:szCs w:val="19"/>
                  </w:rPr>
                  <w:br/>
                  <w:t>г. Москва, Нарышкинская аллея,</w:t>
                </w:r>
              </w:p>
              <w:p w:rsidR="004730C0" w:rsidRPr="00925CDD" w:rsidRDefault="004730C0" w:rsidP="00EA0E4F">
                <w:pPr>
                  <w:widowControl w:val="0"/>
                  <w:autoSpaceDE w:val="0"/>
                  <w:autoSpaceDN w:val="0"/>
                  <w:spacing w:after="0" w:line="240" w:lineRule="auto"/>
                  <w:jc w:val="right"/>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дом 5, строение 2</w:t>
                </w:r>
              </w:p>
            </w:txbxContent>
          </v:textbox>
          <w10:wrap type="tight"/>
        </v:shape>
      </w:pict>
    </w:r>
    <w:r>
      <w:rPr>
        <w:noProof/>
      </w:rPr>
      <w:pict>
        <v:shape id="Text Box 19" o:spid="_x0000_s2054" type="#_x0000_t202" style="position:absolute;margin-left:-36.1pt;margin-top:-28.8pt;width:79.05pt;height:33.6pt;z-index:2516572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d="f">
          <v:fill opacity="56283f"/>
          <v:path arrowok="t"/>
          <v:textbox style="mso-next-textbox:#Text Box 19" inset=".5mm,.5mm,.5mm,.5mm">
            <w:txbxContent>
              <w:p w:rsidR="004730C0" w:rsidRPr="00111C31" w:rsidRDefault="004730C0" w:rsidP="00EA0E4F">
                <w:pPr>
                  <w:widowControl w:val="0"/>
                  <w:autoSpaceDE w:val="0"/>
                  <w:autoSpaceDN w:val="0"/>
                  <w:spacing w:after="0" w:line="240" w:lineRule="auto"/>
                  <w:jc w:val="right"/>
                  <w:rPr>
                    <w:rFonts w:ascii="Times New Roman" w:eastAsia="Times New Roman" w:hAnsi="Times New Roman"/>
                    <w:color w:val="939598"/>
                    <w:sz w:val="19"/>
                    <w:szCs w:val="19"/>
                  </w:rPr>
                </w:pPr>
              </w:p>
              <w:p w:rsidR="004730C0" w:rsidRPr="00E03843" w:rsidRDefault="004730C0" w:rsidP="00EA0E4F">
                <w:pPr>
                  <w:widowControl w:val="0"/>
                  <w:autoSpaceDE w:val="0"/>
                  <w:autoSpaceDN w:val="0"/>
                  <w:spacing w:after="0" w:line="240" w:lineRule="auto"/>
                  <w:jc w:val="right"/>
                  <w:rPr>
                    <w:rFonts w:ascii="Times New Roman" w:eastAsia="Times New Roman" w:hAnsi="Times New Roman"/>
                    <w:b/>
                    <w:color w:val="939598"/>
                    <w:sz w:val="19"/>
                    <w:szCs w:val="19"/>
                  </w:rPr>
                </w:pPr>
              </w:p>
            </w:txbxContent>
          </v:textbox>
        </v:shape>
      </w:pict>
    </w:r>
    <w:r w:rsidR="00545934">
      <w:rPr>
        <w:noProof/>
        <w:sz w:val="28"/>
        <w:szCs w:val="28"/>
        <w:lang w:eastAsia="ru-RU"/>
      </w:rPr>
      <w:drawing>
        <wp:anchor distT="0" distB="0" distL="114300" distR="114300" simplePos="0" relativeHeight="251661312" behindDoc="1" locked="0" layoutInCell="1" allowOverlap="1">
          <wp:simplePos x="0" y="0"/>
          <wp:positionH relativeFrom="column">
            <wp:posOffset>-865505</wp:posOffset>
          </wp:positionH>
          <wp:positionV relativeFrom="paragraph">
            <wp:posOffset>-478155</wp:posOffset>
          </wp:positionV>
          <wp:extent cx="7120890" cy="770890"/>
          <wp:effectExtent l="19050" t="0" r="3810" b="0"/>
          <wp:wrapNone/>
          <wp:docPr id="5" name="Рисунок 2" descr="бланк составные элементы-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бланк составные элементы-06"/>
                  <pic:cNvPicPr>
                    <a:picLocks noChangeArrowheads="1"/>
                  </pic:cNvPicPr>
                </pic:nvPicPr>
                <pic:blipFill>
                  <a:blip r:embed="rId4"/>
                  <a:srcRect l="2673" r="3773" b="-43"/>
                  <a:stretch>
                    <a:fillRect/>
                  </a:stretch>
                </pic:blipFill>
                <pic:spPr bwMode="auto">
                  <a:xfrm>
                    <a:off x="0" y="0"/>
                    <a:ext cx="7120890" cy="770890"/>
                  </a:xfrm>
                  <a:prstGeom prst="rect">
                    <a:avLst/>
                  </a:prstGeom>
                  <a:noFill/>
                </pic:spPr>
              </pic:pic>
            </a:graphicData>
          </a:graphic>
        </wp:anchor>
      </w:drawing>
    </w:r>
  </w:p>
  <w:p w:rsidR="004730C0" w:rsidRPr="000015F9" w:rsidRDefault="00096F83" w:rsidP="00EA0E4F">
    <w:pPr>
      <w:spacing w:after="0" w:line="240" w:lineRule="auto"/>
    </w:pPr>
    <w:r>
      <w:rPr>
        <w:noProof/>
      </w:rPr>
      <w:pict>
        <v:group id="Group 10" o:spid="_x0000_s2050" alt="" style="position:absolute;margin-left:-72.9pt;margin-top:4.7pt;width:569.3pt;height:45.85pt;z-index:251655168" coordorigin="5,1521" coordsize="11901,917">
          <v:shape id="AutoShape 9" o:spid="_x0000_s2051" alt="" style="position:absolute;left:5;top:1702;width:11901;height:736;visibility:visible;mso-wrap-style:square;v-text-anchor:top" coordsize="11901,736" o:spt="100" adj="0,,0" path="m3333,40r-1165,l2499,48r83,4l2664,54r244,12l2989,72r80,4l3150,82r81,4l3631,116r79,8l3869,136r157,16l4105,158r778,80l4960,248r154,16l5191,274r154,16l5587,320r81,8l5990,368r161,18l7558,558r74,10l7853,594r75,10l8003,612r76,10l8155,630r77,10l8468,664r80,6l8630,678r313,24l9100,710r78,6l9257,720r80,2l9416,726r402,10l10229,736r82,-2l10394,734r165,-4l10641,726r82,-2l10966,712r81,-6l11128,702r474,-36l11834,642r67,-6l11901,612r-2254,l9401,606r-82,-4l9237,600,8993,588,8831,576r-80,-4l8671,566r-79,-8l8513,552,8037,504,7797,476r-81,-8l6923,380r-12,-2l5850,264r-79,-10l4824,158r-80,-6l4584,136r-80,-6l4343,114r-81,-6l4181,100,3444,46r-83,-4l3333,40xm11901,474r-358,46l11225,552r-392,30l10447,602r-391,10l11901,612r,-138xm2288,l1955,,1624,8,1379,20,1061,44,906,60,830,70r-75,8l680,90r-91,12l500,118r-86,14l331,148r-81,18l171,182,95,200,21,220,,224r,24l88,226r72,-16l235,192r77,-14l390,162r81,-14l554,136r84,-14l725,112,877,92r76,-8l1031,78r78,-8l1188,64,1591,44r164,-4l3333,40r-55,-4l2786,12,2288,xe" fillcolor="#ed1c24" stroked="f">
            <v:stroke joinstyle="round"/>
            <v:formulas/>
            <v:path arrowok="t" o:connecttype="custom" o:connectlocs="1586865,787400;1846580,798830;2000250,808990;2355850,835660;2606675,857250;3247390,924560;3547745,960120;3905885,1002030;4986655,1134110;5130165,1151890;5377180,1178560;5678805,1202690;5878195,1214120;6234430,1224280;6600190,1223010;6809105,1216660;7066280,1202690;7557135,1160780;5969635,1141730;5710555,1130300;5506085,1116330;5103495,1076960;4396105,998220;3664585,918210;2910840,843280;2706370,825500;2134235,783590;7329805,1087120;6633845,1139190;7557135,1057910;1031240,762000;575310,795020;431800,814070;262890,840740;108585,872490;0,899160;101600,890270;247650,859790;405130,834390;605155,810260;754380,797560;2116455,782320;1452880,756920" o:connectangles="0,0,0,0,0,0,0,0,0,0,0,0,0,0,0,0,0,0,0,0,0,0,0,0,0,0,0,0,0,0,0,0,0,0,0,0,0,0,0,0,0,0,0"/>
          </v:shape>
          <v:shape id="AutoShape 8" o:spid="_x0000_s2052" alt="" style="position:absolute;left:5;top:1521;width:6184;height:406;visibility:visible;mso-wrap-style:square;v-text-anchor:top" coordsize="6184,406" o:spt="100" adj="0,,0" path="m4062,128r-1864,l2605,131r409,11l3503,163r565,34l4708,247r707,70l6183,406,5512,304,5051,240,4498,173,4062,128xm1642,l1317,3,994,10,682,23,448,37,217,54,,75,,281r5,-1l47,273r83,-14l215,247r87,-13l465,214,614,198,845,177r238,-17l1319,147r316,-11l1955,129r2107,-1l3511,79,2999,43,2521,19,2125,6,1723,1,1642,xe" fillcolor="#1b75bc" stroked="f">
            <v:stroke joinstyle="round"/>
            <v:formulas/>
            <v:path arrowok="t" o:connecttype="custom" o:connectlocs="2579370,722630;1395730,722630;1654175,724535;1913890,731520;2224405,744855;2583180,766445;2989580,798195;3438525,842645;3926205,899160;3500120,834390;3207385,793750;2856230,751205;2579370,722630;1042670,641350;836295,643255;631190,647700;433070,655955;284480,664845;137795,675640;0,688975;0,819785;3175,819150;29845,814705;82550,805815;136525,798195;191770,789940;295275,777240;389890,767080;536575,753745;687705,742950;837565,734695;1038225,727710;1241425,723265;2579370,722630;2229485,691515;1904365,668655;1600835,653415;1349375,645160;1094105,641985;1042670,641350" o:connectangles="0,0,0,0,0,0,0,0,0,0,0,0,0,0,0,0,0,0,0,0,0,0,0,0,0,0,0,0,0,0,0,0,0,0,0,0,0,0,0,0"/>
          </v:shape>
        </v:group>
      </w:pict>
    </w:r>
  </w:p>
  <w:p w:rsidR="004730C0" w:rsidRPr="00D44D84" w:rsidRDefault="004730C0" w:rsidP="00EA0E4F">
    <w:pPr>
      <w:spacing w:after="0" w:line="240" w:lineRule="auto"/>
      <w:rPr>
        <w:sz w:val="26"/>
        <w:szCs w:val="26"/>
      </w:rPr>
    </w:pPr>
  </w:p>
  <w:p w:rsidR="004730C0" w:rsidRDefault="004730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6320"/>
    <w:multiLevelType w:val="hybridMultilevel"/>
    <w:tmpl w:val="7694940E"/>
    <w:lvl w:ilvl="0" w:tplc="BE520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1470404"/>
    <w:multiLevelType w:val="hybridMultilevel"/>
    <w:tmpl w:val="3C8EA0A2"/>
    <w:lvl w:ilvl="0" w:tplc="0419000F">
      <w:start w:val="1"/>
      <w:numFmt w:val="decimal"/>
      <w:lvlText w:val="%1."/>
      <w:lvlJc w:val="left"/>
      <w:pPr>
        <w:tabs>
          <w:tab w:val="num" w:pos="720"/>
        </w:tabs>
        <w:ind w:left="720" w:hanging="360"/>
      </w:pPr>
    </w:lvl>
    <w:lvl w:ilvl="1" w:tplc="F46EBD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5F9"/>
    <w:rsid w:val="000015F9"/>
    <w:rsid w:val="000171F1"/>
    <w:rsid w:val="00021C9B"/>
    <w:rsid w:val="00033165"/>
    <w:rsid w:val="00061B87"/>
    <w:rsid w:val="0006292F"/>
    <w:rsid w:val="00096F83"/>
    <w:rsid w:val="000B1073"/>
    <w:rsid w:val="000B311C"/>
    <w:rsid w:val="000B496C"/>
    <w:rsid w:val="000B6BCF"/>
    <w:rsid w:val="000D296B"/>
    <w:rsid w:val="001144F1"/>
    <w:rsid w:val="0013551E"/>
    <w:rsid w:val="00137168"/>
    <w:rsid w:val="00142EA3"/>
    <w:rsid w:val="00146CE2"/>
    <w:rsid w:val="00165F82"/>
    <w:rsid w:val="00181919"/>
    <w:rsid w:val="001A176D"/>
    <w:rsid w:val="001B0DD9"/>
    <w:rsid w:val="001B5500"/>
    <w:rsid w:val="001C0EAA"/>
    <w:rsid w:val="0022180E"/>
    <w:rsid w:val="00247ADA"/>
    <w:rsid w:val="00247BB8"/>
    <w:rsid w:val="0026606F"/>
    <w:rsid w:val="0026736D"/>
    <w:rsid w:val="002741EF"/>
    <w:rsid w:val="00275164"/>
    <w:rsid w:val="00306395"/>
    <w:rsid w:val="0036054C"/>
    <w:rsid w:val="00387778"/>
    <w:rsid w:val="003916AE"/>
    <w:rsid w:val="003948C0"/>
    <w:rsid w:val="003F78F4"/>
    <w:rsid w:val="004010DF"/>
    <w:rsid w:val="00430E53"/>
    <w:rsid w:val="00454658"/>
    <w:rsid w:val="004637C3"/>
    <w:rsid w:val="004730C0"/>
    <w:rsid w:val="00484E04"/>
    <w:rsid w:val="00490FF0"/>
    <w:rsid w:val="004B3AF2"/>
    <w:rsid w:val="004B7D12"/>
    <w:rsid w:val="004E41C7"/>
    <w:rsid w:val="004F525C"/>
    <w:rsid w:val="00506587"/>
    <w:rsid w:val="00517437"/>
    <w:rsid w:val="005409FF"/>
    <w:rsid w:val="005435CE"/>
    <w:rsid w:val="0054579F"/>
    <w:rsid w:val="00545934"/>
    <w:rsid w:val="00545C73"/>
    <w:rsid w:val="005A24E1"/>
    <w:rsid w:val="005C3539"/>
    <w:rsid w:val="006138CF"/>
    <w:rsid w:val="00621648"/>
    <w:rsid w:val="00645921"/>
    <w:rsid w:val="00650E12"/>
    <w:rsid w:val="006563EC"/>
    <w:rsid w:val="00666CBF"/>
    <w:rsid w:val="00677985"/>
    <w:rsid w:val="006A14F3"/>
    <w:rsid w:val="006E4A1C"/>
    <w:rsid w:val="007759A9"/>
    <w:rsid w:val="007A1897"/>
    <w:rsid w:val="007B3A5E"/>
    <w:rsid w:val="007B4A97"/>
    <w:rsid w:val="007B535D"/>
    <w:rsid w:val="007C458D"/>
    <w:rsid w:val="007E0532"/>
    <w:rsid w:val="007E1321"/>
    <w:rsid w:val="008610FC"/>
    <w:rsid w:val="008B00FF"/>
    <w:rsid w:val="008B0D3F"/>
    <w:rsid w:val="008F57C1"/>
    <w:rsid w:val="008F5AB3"/>
    <w:rsid w:val="008F799B"/>
    <w:rsid w:val="00900D14"/>
    <w:rsid w:val="00901217"/>
    <w:rsid w:val="00902A4F"/>
    <w:rsid w:val="00924948"/>
    <w:rsid w:val="00925CDD"/>
    <w:rsid w:val="00926BB4"/>
    <w:rsid w:val="00955B96"/>
    <w:rsid w:val="009922E7"/>
    <w:rsid w:val="009925A6"/>
    <w:rsid w:val="009A00F1"/>
    <w:rsid w:val="009C5418"/>
    <w:rsid w:val="00A37331"/>
    <w:rsid w:val="00A37F7F"/>
    <w:rsid w:val="00A55E93"/>
    <w:rsid w:val="00A66C18"/>
    <w:rsid w:val="00A71DF4"/>
    <w:rsid w:val="00A7335B"/>
    <w:rsid w:val="00A95D07"/>
    <w:rsid w:val="00A97510"/>
    <w:rsid w:val="00AA4195"/>
    <w:rsid w:val="00AA7BD8"/>
    <w:rsid w:val="00B01068"/>
    <w:rsid w:val="00B10293"/>
    <w:rsid w:val="00B10CC0"/>
    <w:rsid w:val="00B60880"/>
    <w:rsid w:val="00B74ECE"/>
    <w:rsid w:val="00B8123D"/>
    <w:rsid w:val="00B81E27"/>
    <w:rsid w:val="00BA44B7"/>
    <w:rsid w:val="00BF2F56"/>
    <w:rsid w:val="00C00F9E"/>
    <w:rsid w:val="00C308F0"/>
    <w:rsid w:val="00C33B87"/>
    <w:rsid w:val="00C60D85"/>
    <w:rsid w:val="00C6720B"/>
    <w:rsid w:val="00C73971"/>
    <w:rsid w:val="00CA3544"/>
    <w:rsid w:val="00CC69A6"/>
    <w:rsid w:val="00CF611B"/>
    <w:rsid w:val="00D00350"/>
    <w:rsid w:val="00D44D84"/>
    <w:rsid w:val="00D72C92"/>
    <w:rsid w:val="00D848A5"/>
    <w:rsid w:val="00DE311F"/>
    <w:rsid w:val="00DF3FE7"/>
    <w:rsid w:val="00DF6D33"/>
    <w:rsid w:val="00E0028C"/>
    <w:rsid w:val="00E03843"/>
    <w:rsid w:val="00E44987"/>
    <w:rsid w:val="00E707E6"/>
    <w:rsid w:val="00EA0E4F"/>
    <w:rsid w:val="00EC2BD0"/>
    <w:rsid w:val="00EF0812"/>
    <w:rsid w:val="00F01449"/>
    <w:rsid w:val="00FB4B0A"/>
    <w:rsid w:val="00FD7498"/>
    <w:rsid w:val="00FE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CABEAA8-4E71-47DB-BD73-B1C1B8A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87"/>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9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9A9"/>
  </w:style>
  <w:style w:type="paragraph" w:styleId="a5">
    <w:name w:val="footer"/>
    <w:basedOn w:val="a"/>
    <w:link w:val="a6"/>
    <w:uiPriority w:val="99"/>
    <w:unhideWhenUsed/>
    <w:rsid w:val="007759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9A9"/>
  </w:style>
  <w:style w:type="paragraph" w:styleId="a7">
    <w:name w:val="Balloon Text"/>
    <w:basedOn w:val="a"/>
    <w:link w:val="a8"/>
    <w:uiPriority w:val="99"/>
    <w:semiHidden/>
    <w:unhideWhenUsed/>
    <w:rsid w:val="007759A9"/>
    <w:pPr>
      <w:spacing w:after="0" w:line="240" w:lineRule="auto"/>
    </w:pPr>
    <w:rPr>
      <w:rFonts w:ascii="Tahoma" w:hAnsi="Tahoma"/>
      <w:sz w:val="16"/>
      <w:szCs w:val="16"/>
    </w:rPr>
  </w:style>
  <w:style w:type="character" w:customStyle="1" w:styleId="a8">
    <w:name w:val="Текст выноски Знак"/>
    <w:link w:val="a7"/>
    <w:uiPriority w:val="99"/>
    <w:semiHidden/>
    <w:rsid w:val="007759A9"/>
    <w:rPr>
      <w:rFonts w:ascii="Tahoma" w:hAnsi="Tahoma" w:cs="Tahoma"/>
      <w:sz w:val="16"/>
      <w:szCs w:val="16"/>
    </w:rPr>
  </w:style>
  <w:style w:type="paragraph" w:styleId="a9">
    <w:name w:val="Normal (Web)"/>
    <w:basedOn w:val="a"/>
    <w:uiPriority w:val="99"/>
    <w:unhideWhenUsed/>
    <w:rsid w:val="00D00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84E04"/>
    <w:pPr>
      <w:widowControl w:val="0"/>
      <w:autoSpaceDE w:val="0"/>
      <w:autoSpaceDN w:val="0"/>
      <w:adjustRightInd w:val="0"/>
    </w:pPr>
    <w:rPr>
      <w:rFonts w:ascii="Arial" w:eastAsia="Times New Roman" w:hAnsi="Arial" w:cs="Arial"/>
      <w:lang w:eastAsia="ru-RU"/>
    </w:rPr>
  </w:style>
  <w:style w:type="table" w:styleId="aa">
    <w:name w:val="Table Grid"/>
    <w:basedOn w:val="a1"/>
    <w:uiPriority w:val="59"/>
    <w:rsid w:val="00B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at@patients.ru" TargetMode="External"/><Relationship Id="rId1" Type="http://schemas.openxmlformats.org/officeDocument/2006/relationships/hyperlink" Target="http://www.patients.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5743</CharactersWithSpaces>
  <SharedDoc>false</SharedDoc>
  <HLinks>
    <vt:vector size="12" baseType="variant">
      <vt:variant>
        <vt:i4>2621452</vt:i4>
      </vt:variant>
      <vt:variant>
        <vt:i4>3</vt:i4>
      </vt:variant>
      <vt:variant>
        <vt:i4>0</vt:i4>
      </vt:variant>
      <vt:variant>
        <vt:i4>5</vt:i4>
      </vt:variant>
      <vt:variant>
        <vt:lpwstr>mailto:pat@patients.ru</vt:lpwstr>
      </vt:variant>
      <vt:variant>
        <vt:lpwstr/>
      </vt:variant>
      <vt:variant>
        <vt:i4>6619191</vt:i4>
      </vt:variant>
      <vt:variant>
        <vt:i4>0</vt:i4>
      </vt:variant>
      <vt:variant>
        <vt:i4>0</vt:i4>
      </vt:variant>
      <vt:variant>
        <vt:i4>5</vt:i4>
      </vt:variant>
      <vt:variant>
        <vt:lpwstr>http://www.patients.ru/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Windows User</cp:lastModifiedBy>
  <cp:revision>15</cp:revision>
  <cp:lastPrinted>2018-09-17T07:07:00Z</cp:lastPrinted>
  <dcterms:created xsi:type="dcterms:W3CDTF">2018-12-29T09:20:00Z</dcterms:created>
  <dcterms:modified xsi:type="dcterms:W3CDTF">2019-05-20T22:20:00Z</dcterms:modified>
</cp:coreProperties>
</file>